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1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tblCellMar>
        <w:tblLook w:val="04A0" w:firstRow="1" w:lastRow="0" w:firstColumn="1" w:lastColumn="0" w:noHBand="0" w:noVBand="1"/>
      </w:tblPr>
      <w:tblGrid>
        <w:gridCol w:w="8010"/>
        <w:gridCol w:w="2700"/>
      </w:tblGrid>
      <w:tr w:rsidR="00E61CD6" w14:paraId="27266B88" w14:textId="77777777" w:rsidTr="0086545A">
        <w:trPr>
          <w:trHeight w:val="1254"/>
        </w:trPr>
        <w:tc>
          <w:tcPr>
            <w:tcW w:w="8010" w:type="dxa"/>
            <w:tcBorders>
              <w:right w:val="single" w:sz="4" w:space="0" w:color="005970"/>
            </w:tcBorders>
          </w:tcPr>
          <w:p w14:paraId="756F31CE" w14:textId="77777777" w:rsidR="00E61CD6" w:rsidRDefault="00E61CD6" w:rsidP="0086545A">
            <w:pPr>
              <w:pStyle w:val="Header"/>
            </w:pPr>
            <w:r>
              <w:rPr>
                <w:noProof/>
              </w:rPr>
              <w:drawing>
                <wp:inline distT="0" distB="0" distL="0" distR="0" wp14:anchorId="2845AE9F" wp14:editId="3CFB8698">
                  <wp:extent cx="1930532" cy="699715"/>
                  <wp:effectExtent l="0" t="0" r="0" b="0"/>
                  <wp:docPr id="286584586" name="Picture 1" descr="City of Rochester, Minneso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36035" name="Picture 1" descr="City of Rochester, Minnesota logo"/>
                          <pic:cNvPicPr/>
                        </pic:nvPicPr>
                        <pic:blipFill rotWithShape="1">
                          <a:blip r:embed="rId11" cstate="print">
                            <a:extLst>
                              <a:ext uri="{28A0092B-C50C-407E-A947-70E740481C1C}">
                                <a14:useLocalDpi xmlns:a14="http://schemas.microsoft.com/office/drawing/2010/main" val="0"/>
                              </a:ext>
                            </a:extLst>
                          </a:blip>
                          <a:srcRect l="11966" t="21371" r="10151" b="22172"/>
                          <a:stretch>
                            <a:fillRect/>
                          </a:stretch>
                        </pic:blipFill>
                        <pic:spPr bwMode="auto">
                          <a:xfrm>
                            <a:off x="0" y="0"/>
                            <a:ext cx="1943764" cy="704511"/>
                          </a:xfrm>
                          <a:prstGeom prst="rect">
                            <a:avLst/>
                          </a:prstGeom>
                          <a:ln>
                            <a:noFill/>
                          </a:ln>
                          <a:extLst>
                            <a:ext uri="{53640926-AAD7-44D8-BBD7-CCE9431645EC}">
                              <a14:shadowObscured xmlns:a14="http://schemas.microsoft.com/office/drawing/2010/main"/>
                            </a:ext>
                          </a:extLst>
                        </pic:spPr>
                      </pic:pic>
                    </a:graphicData>
                  </a:graphic>
                </wp:inline>
              </w:drawing>
            </w:r>
          </w:p>
        </w:tc>
        <w:tc>
          <w:tcPr>
            <w:tcW w:w="2700" w:type="dxa"/>
            <w:tcBorders>
              <w:left w:val="single" w:sz="4" w:space="0" w:color="005970"/>
            </w:tcBorders>
            <w:vAlign w:val="center"/>
          </w:tcPr>
          <w:p w14:paraId="45D6921D" w14:textId="77777777" w:rsidR="00E61CD6" w:rsidRPr="001C42E7" w:rsidRDefault="00E61CD6" w:rsidP="0086545A">
            <w:pPr>
              <w:pStyle w:val="Header"/>
              <w:ind w:left="207" w:right="-1005"/>
              <w:rPr>
                <w:color w:val="00586F" w:themeColor="text2"/>
                <w:sz w:val="22"/>
                <w:szCs w:val="22"/>
              </w:rPr>
            </w:pPr>
            <w:r w:rsidRPr="001C42E7">
              <w:rPr>
                <w:b/>
                <w:bCs/>
                <w:color w:val="00586F" w:themeColor="text2"/>
                <w:sz w:val="22"/>
                <w:szCs w:val="22"/>
              </w:rPr>
              <w:t>City of Rochester, MN</w:t>
            </w:r>
            <w:r w:rsidRPr="001C42E7">
              <w:rPr>
                <w:color w:val="00586F" w:themeColor="text2"/>
                <w:sz w:val="22"/>
                <w:szCs w:val="22"/>
              </w:rPr>
              <w:br/>
              <w:t>201 4th Street SE</w:t>
            </w:r>
            <w:r w:rsidRPr="001C42E7">
              <w:rPr>
                <w:color w:val="00586F" w:themeColor="text2"/>
                <w:sz w:val="22"/>
                <w:szCs w:val="22"/>
              </w:rPr>
              <w:br/>
              <w:t>Rochester, 55904</w:t>
            </w:r>
          </w:p>
          <w:p w14:paraId="53B03A20" w14:textId="77777777" w:rsidR="00E61CD6" w:rsidRDefault="00E61CD6" w:rsidP="0086545A">
            <w:pPr>
              <w:pStyle w:val="Header"/>
              <w:ind w:left="207" w:right="-1005"/>
              <w:rPr>
                <w:color w:val="00586F" w:themeColor="text2"/>
                <w:sz w:val="22"/>
                <w:szCs w:val="22"/>
              </w:rPr>
            </w:pPr>
            <w:r w:rsidRPr="001C42E7">
              <w:rPr>
                <w:color w:val="00586F" w:themeColor="text2"/>
                <w:sz w:val="22"/>
                <w:szCs w:val="22"/>
              </w:rPr>
              <w:t>507-328-2900</w:t>
            </w:r>
          </w:p>
          <w:p w14:paraId="2AB2C46E" w14:textId="77777777" w:rsidR="00E61CD6" w:rsidRPr="00926655" w:rsidRDefault="00E61CD6" w:rsidP="0086545A">
            <w:pPr>
              <w:pStyle w:val="Header"/>
              <w:ind w:left="207" w:right="-1005"/>
              <w:rPr>
                <w:color w:val="00586F" w:themeColor="text2"/>
                <w:sz w:val="21"/>
                <w:szCs w:val="21"/>
              </w:rPr>
            </w:pPr>
            <w:r w:rsidRPr="00142A43">
              <w:rPr>
                <w:color w:val="00586F" w:themeColor="text2"/>
                <w:sz w:val="22"/>
                <w:szCs w:val="22"/>
              </w:rPr>
              <w:t>www.rochestermn.gov</w:t>
            </w:r>
          </w:p>
        </w:tc>
      </w:tr>
    </w:tbl>
    <w:p w14:paraId="07F80365" w14:textId="0277DA15" w:rsidR="00A7445F" w:rsidRPr="00C85759" w:rsidRDefault="00407B07" w:rsidP="008C0220">
      <w:pPr>
        <w:pStyle w:val="Title"/>
        <w:jc w:val="center"/>
        <w:rPr>
          <w:i/>
          <w:iCs/>
          <w:sz w:val="28"/>
        </w:rPr>
      </w:pPr>
      <w:r>
        <w:rPr>
          <w:sz w:val="48"/>
          <w:szCs w:val="48"/>
        </w:rPr>
        <w:t>Family and Medical Leave</w:t>
      </w:r>
    </w:p>
    <w:p w14:paraId="50A6FC01" w14:textId="38DADE75" w:rsidR="00A7445F" w:rsidRDefault="00231133" w:rsidP="008C0220">
      <w:pPr>
        <w:pStyle w:val="Subtitle"/>
        <w:jc w:val="center"/>
      </w:pPr>
      <w:r>
        <w:t>City of Rochester Organizational Policy</w:t>
      </w:r>
    </w:p>
    <w:p w14:paraId="7A8868FC" w14:textId="03239A97" w:rsidR="00776524" w:rsidRPr="007A0EA6" w:rsidRDefault="00231133" w:rsidP="0010609C">
      <w:pPr>
        <w:pStyle w:val="Heading1"/>
        <w:spacing w:line="240" w:lineRule="auto"/>
        <w:rPr>
          <w:rStyle w:val="SubtleEmphasis"/>
          <w:i w:val="0"/>
          <w:iCs w:val="0"/>
          <w:color w:val="00586F" w:themeColor="text2"/>
          <w:sz w:val="36"/>
          <w:szCs w:val="36"/>
        </w:rPr>
      </w:pPr>
      <w:r w:rsidRPr="007A0EA6">
        <w:rPr>
          <w:rStyle w:val="SubtleEmphasis"/>
          <w:i w:val="0"/>
          <w:iCs w:val="0"/>
          <w:color w:val="00586F" w:themeColor="text2"/>
          <w:sz w:val="36"/>
          <w:szCs w:val="36"/>
        </w:rPr>
        <w:t>Purpose</w:t>
      </w:r>
    </w:p>
    <w:p w14:paraId="07F330C5" w14:textId="77777777" w:rsidR="0010609C" w:rsidRDefault="00407B07" w:rsidP="0010609C">
      <w:pPr>
        <w:spacing w:line="240" w:lineRule="auto"/>
        <w:rPr>
          <w:sz w:val="22"/>
          <w:szCs w:val="22"/>
        </w:rPr>
      </w:pPr>
      <w:r w:rsidRPr="00407B07">
        <w:rPr>
          <w:sz w:val="22"/>
          <w:szCs w:val="22"/>
        </w:rPr>
        <w:t xml:space="preserve">The City of Rochester complies with the Family and Medical Leave Act (FMLA) and Minnesota Paid Family Leave (PFML) that is administered by the Minnesota Department of Employment and Economic Development (DEED) and effective January 1, 2026. The City will grant FMLA and PFML leave in accordance with State and Federal laws, running the time concurrently when applicable. </w:t>
      </w:r>
    </w:p>
    <w:p w14:paraId="0E677EC1" w14:textId="77777777" w:rsidR="0010609C" w:rsidRDefault="00407B07" w:rsidP="0010609C">
      <w:pPr>
        <w:spacing w:line="240" w:lineRule="auto"/>
        <w:rPr>
          <w:sz w:val="22"/>
          <w:szCs w:val="22"/>
        </w:rPr>
      </w:pPr>
      <w:r w:rsidRPr="00407B07">
        <w:rPr>
          <w:sz w:val="22"/>
          <w:szCs w:val="22"/>
        </w:rPr>
        <w:t>The purpose of this policy is to provide employees with a general description of their FMLA and PFML rights and clarify the City’s requirements for supplementing of accrued leave benefits.</w:t>
      </w:r>
    </w:p>
    <w:p w14:paraId="5777253C" w14:textId="7357E7E0" w:rsidR="00407B07" w:rsidRPr="00407B07" w:rsidRDefault="00407B07" w:rsidP="0010609C">
      <w:pPr>
        <w:spacing w:line="240" w:lineRule="auto"/>
        <w:rPr>
          <w:sz w:val="22"/>
          <w:szCs w:val="22"/>
        </w:rPr>
      </w:pPr>
      <w:r w:rsidRPr="00407B07">
        <w:rPr>
          <w:sz w:val="22"/>
          <w:szCs w:val="22"/>
        </w:rPr>
        <w:t xml:space="preserve">Nothing stated in this policy creates an employment contract between the City of Rochester and its employees. </w:t>
      </w:r>
    </w:p>
    <w:p w14:paraId="5E307D96" w14:textId="3A5822A2" w:rsidR="00706417" w:rsidRDefault="00407B07" w:rsidP="0010609C">
      <w:pPr>
        <w:pStyle w:val="Heading1"/>
        <w:spacing w:line="240" w:lineRule="auto"/>
        <w:rPr>
          <w:rStyle w:val="SubtleEmphasis"/>
          <w:i w:val="0"/>
          <w:iCs w:val="0"/>
          <w:color w:val="00586F" w:themeColor="text2"/>
          <w:sz w:val="36"/>
          <w:szCs w:val="36"/>
        </w:rPr>
      </w:pPr>
      <w:r>
        <w:rPr>
          <w:rStyle w:val="SubtleEmphasis"/>
          <w:i w:val="0"/>
          <w:iCs w:val="0"/>
          <w:color w:val="00586F" w:themeColor="text2"/>
          <w:sz w:val="36"/>
          <w:szCs w:val="36"/>
        </w:rPr>
        <w:t>Policy Overview</w:t>
      </w:r>
    </w:p>
    <w:p w14:paraId="35D68AD3" w14:textId="636DAA6C" w:rsidR="00407B07" w:rsidRPr="00407B07" w:rsidRDefault="00407B07" w:rsidP="0010609C">
      <w:pPr>
        <w:pStyle w:val="Heading2"/>
        <w:spacing w:line="240" w:lineRule="auto"/>
        <w:rPr>
          <w:sz w:val="28"/>
          <w:szCs w:val="24"/>
        </w:rPr>
      </w:pPr>
      <w:r w:rsidRPr="00407B07">
        <w:rPr>
          <w:sz w:val="28"/>
          <w:szCs w:val="24"/>
        </w:rPr>
        <w:t xml:space="preserve">Qualifying Absences </w:t>
      </w:r>
    </w:p>
    <w:p w14:paraId="2064366F" w14:textId="77777777" w:rsidR="00407B07" w:rsidRPr="00407B07" w:rsidRDefault="00407B07" w:rsidP="0010609C">
      <w:pPr>
        <w:tabs>
          <w:tab w:val="left" w:pos="7854"/>
        </w:tabs>
        <w:spacing w:after="220" w:line="240" w:lineRule="auto"/>
        <w:rPr>
          <w:rFonts w:eastAsia="Times New Roman"/>
          <w:sz w:val="22"/>
          <w:szCs w:val="22"/>
        </w:rPr>
      </w:pPr>
      <w:r w:rsidRPr="00407B07">
        <w:rPr>
          <w:rFonts w:eastAsia="Times New Roman"/>
          <w:sz w:val="22"/>
          <w:szCs w:val="22"/>
        </w:rPr>
        <w:t>In accordance with the FMLA, the City will provide eligible employees with up to 12 weeks of paid or unpaid, job and benefit-protected leave per year for any of the following reasons as outlined in the Federal FMLA law:</w:t>
      </w:r>
    </w:p>
    <w:p w14:paraId="3F8903E9" w14:textId="77777777" w:rsidR="00407B07" w:rsidRPr="00407B07" w:rsidRDefault="00407B07" w:rsidP="0010609C">
      <w:pPr>
        <w:pStyle w:val="ListParagraph"/>
        <w:numPr>
          <w:ilvl w:val="0"/>
          <w:numId w:val="12"/>
        </w:numPr>
        <w:spacing w:after="220" w:line="240" w:lineRule="auto"/>
        <w:rPr>
          <w:rFonts w:eastAsia="Times New Roman"/>
          <w:sz w:val="22"/>
          <w:szCs w:val="22"/>
        </w:rPr>
      </w:pPr>
      <w:r w:rsidRPr="00407B07">
        <w:rPr>
          <w:rFonts w:eastAsia="Times New Roman"/>
          <w:sz w:val="22"/>
          <w:szCs w:val="22"/>
        </w:rPr>
        <w:t xml:space="preserve">The birth of a child, including prenatal care, or placement of a child with the employee for adoption or foster </w:t>
      </w:r>
      <w:proofErr w:type="gramStart"/>
      <w:r w:rsidRPr="00407B07">
        <w:rPr>
          <w:rFonts w:eastAsia="Times New Roman"/>
          <w:sz w:val="22"/>
          <w:szCs w:val="22"/>
        </w:rPr>
        <w:t>care;</w:t>
      </w:r>
      <w:proofErr w:type="gramEnd"/>
    </w:p>
    <w:p w14:paraId="0667D558" w14:textId="77777777" w:rsidR="00407B07" w:rsidRPr="00407B07" w:rsidRDefault="00407B07" w:rsidP="0010609C">
      <w:pPr>
        <w:pStyle w:val="ListParagraph"/>
        <w:numPr>
          <w:ilvl w:val="0"/>
          <w:numId w:val="12"/>
        </w:numPr>
        <w:spacing w:after="220" w:line="240" w:lineRule="auto"/>
        <w:rPr>
          <w:rFonts w:eastAsia="Times New Roman"/>
          <w:sz w:val="22"/>
          <w:szCs w:val="22"/>
        </w:rPr>
      </w:pPr>
      <w:r w:rsidRPr="00407B07">
        <w:rPr>
          <w:rFonts w:eastAsia="Times New Roman"/>
          <w:sz w:val="22"/>
          <w:szCs w:val="22"/>
        </w:rPr>
        <w:t xml:space="preserve">The care for a child, spouse or parent who has a serious health </w:t>
      </w:r>
      <w:proofErr w:type="gramStart"/>
      <w:r w:rsidRPr="00407B07">
        <w:rPr>
          <w:rFonts w:eastAsia="Times New Roman"/>
          <w:sz w:val="22"/>
          <w:szCs w:val="22"/>
        </w:rPr>
        <w:t>condition;</w:t>
      </w:r>
      <w:proofErr w:type="gramEnd"/>
    </w:p>
    <w:p w14:paraId="58704053" w14:textId="77777777" w:rsidR="00407B07" w:rsidRPr="00407B07" w:rsidRDefault="00407B07" w:rsidP="0010609C">
      <w:pPr>
        <w:pStyle w:val="ListParagraph"/>
        <w:numPr>
          <w:ilvl w:val="0"/>
          <w:numId w:val="12"/>
        </w:numPr>
        <w:spacing w:after="220" w:line="240" w:lineRule="auto"/>
        <w:rPr>
          <w:rFonts w:eastAsia="Times New Roman"/>
          <w:sz w:val="22"/>
          <w:szCs w:val="22"/>
        </w:rPr>
      </w:pPr>
      <w:r w:rsidRPr="00407B07">
        <w:rPr>
          <w:rFonts w:eastAsia="Times New Roman"/>
          <w:sz w:val="22"/>
          <w:szCs w:val="22"/>
        </w:rPr>
        <w:t>A serious health condition that makes the employee unable to perform the essential functions of their position; and</w:t>
      </w:r>
    </w:p>
    <w:p w14:paraId="65608232" w14:textId="77777777" w:rsidR="00407B07" w:rsidRPr="00407B07" w:rsidRDefault="00407B07" w:rsidP="0010609C">
      <w:pPr>
        <w:pStyle w:val="ListParagraph"/>
        <w:numPr>
          <w:ilvl w:val="0"/>
          <w:numId w:val="12"/>
        </w:numPr>
        <w:spacing w:after="220" w:line="240" w:lineRule="auto"/>
        <w:rPr>
          <w:rFonts w:eastAsia="Times New Roman"/>
          <w:sz w:val="22"/>
          <w:szCs w:val="22"/>
        </w:rPr>
      </w:pPr>
      <w:r w:rsidRPr="00407B07">
        <w:rPr>
          <w:rFonts w:eastAsia="Times New Roman"/>
          <w:sz w:val="22"/>
          <w:szCs w:val="22"/>
        </w:rPr>
        <w:t>Qualifying exigency related to family member’s (child, parent or spouse) foreign deployment</w:t>
      </w:r>
    </w:p>
    <w:p w14:paraId="426FB465" w14:textId="77777777" w:rsidR="00407B07" w:rsidRPr="00407B07" w:rsidRDefault="00407B07" w:rsidP="0010609C">
      <w:pPr>
        <w:spacing w:after="220" w:line="240" w:lineRule="auto"/>
        <w:rPr>
          <w:rFonts w:eastAsia="Times New Roman"/>
          <w:sz w:val="22"/>
          <w:szCs w:val="22"/>
        </w:rPr>
      </w:pPr>
      <w:r w:rsidRPr="00407B07">
        <w:rPr>
          <w:rFonts w:eastAsia="Times New Roman"/>
          <w:sz w:val="22"/>
          <w:szCs w:val="22"/>
        </w:rPr>
        <w:t xml:space="preserve">An eligible employee can take up to 26 weeks of paid or unpaid, job and benefit-protected leave per year for the following reason. </w:t>
      </w:r>
    </w:p>
    <w:p w14:paraId="526866AC" w14:textId="77777777" w:rsidR="00407B07" w:rsidRPr="00407B07" w:rsidRDefault="00407B07" w:rsidP="0010609C">
      <w:pPr>
        <w:pStyle w:val="ListParagraph"/>
        <w:numPr>
          <w:ilvl w:val="0"/>
          <w:numId w:val="12"/>
        </w:numPr>
        <w:spacing w:after="220" w:line="240" w:lineRule="auto"/>
        <w:rPr>
          <w:rFonts w:eastAsia="Times New Roman"/>
          <w:sz w:val="22"/>
          <w:szCs w:val="22"/>
        </w:rPr>
      </w:pPr>
      <w:r w:rsidRPr="00407B07">
        <w:rPr>
          <w:rFonts w:eastAsia="Times New Roman"/>
          <w:sz w:val="22"/>
          <w:szCs w:val="22"/>
        </w:rPr>
        <w:t>Military care giver – leave when a family member is a current servicemember or recent veteran with a serious injury or illness related to their military service.</w:t>
      </w:r>
    </w:p>
    <w:p w14:paraId="0B625A1A" w14:textId="77777777" w:rsidR="0010609C" w:rsidRDefault="00407B07" w:rsidP="0010609C">
      <w:pPr>
        <w:spacing w:after="220" w:line="240" w:lineRule="auto"/>
        <w:rPr>
          <w:rFonts w:eastAsia="Times New Roman"/>
          <w:sz w:val="22"/>
          <w:szCs w:val="22"/>
        </w:rPr>
      </w:pPr>
      <w:r w:rsidRPr="00407B07">
        <w:rPr>
          <w:rFonts w:eastAsia="Times New Roman"/>
          <w:sz w:val="22"/>
          <w:szCs w:val="22"/>
        </w:rPr>
        <w:t xml:space="preserve">In accordance with PFML, the City will provide eligible employees with up to 12 weeks of unpaid medical leave and 12 weeks of unpaid family leave, not to exceed a total of 20 weeks in a year. For individuals that have worked for the City for more than 90 days, this leave will be job and benefit protected for any of the following reasons, as outlined in Minnesota Statute </w:t>
      </w:r>
      <w:r w:rsidRPr="00407B07">
        <w:rPr>
          <w:sz w:val="22"/>
          <w:szCs w:val="22"/>
        </w:rPr>
        <w:t xml:space="preserve">§ </w:t>
      </w:r>
      <w:r w:rsidRPr="00407B07">
        <w:rPr>
          <w:rFonts w:eastAsia="Times New Roman"/>
          <w:sz w:val="22"/>
          <w:szCs w:val="22"/>
        </w:rPr>
        <w:t xml:space="preserve">268B. DEED will issue payment to eligible employees after approval. </w:t>
      </w:r>
    </w:p>
    <w:p w14:paraId="1912AAB1" w14:textId="71A61436" w:rsidR="00407B07" w:rsidRPr="0010609C" w:rsidRDefault="00407B07" w:rsidP="0010609C">
      <w:pPr>
        <w:pStyle w:val="ListParagraph"/>
        <w:numPr>
          <w:ilvl w:val="0"/>
          <w:numId w:val="12"/>
        </w:numPr>
        <w:spacing w:after="220" w:line="240" w:lineRule="auto"/>
        <w:rPr>
          <w:rFonts w:eastAsia="Times New Roman"/>
          <w:sz w:val="22"/>
          <w:szCs w:val="22"/>
        </w:rPr>
      </w:pPr>
      <w:r w:rsidRPr="0010609C">
        <w:rPr>
          <w:rFonts w:eastAsia="Times New Roman"/>
          <w:sz w:val="22"/>
          <w:szCs w:val="22"/>
        </w:rPr>
        <w:lastRenderedPageBreak/>
        <w:t>Your own serious health condition that makes you unable to perform regular work, including medical care related to pregnancy</w:t>
      </w:r>
    </w:p>
    <w:p w14:paraId="7C2B0EE1" w14:textId="77777777" w:rsidR="00407B07" w:rsidRPr="00407B07" w:rsidRDefault="00407B07" w:rsidP="0010609C">
      <w:pPr>
        <w:pStyle w:val="ListParagraph"/>
        <w:numPr>
          <w:ilvl w:val="0"/>
          <w:numId w:val="13"/>
        </w:numPr>
        <w:spacing w:after="220" w:line="240" w:lineRule="auto"/>
        <w:rPr>
          <w:rFonts w:eastAsia="Times New Roman"/>
          <w:sz w:val="22"/>
          <w:szCs w:val="22"/>
        </w:rPr>
      </w:pPr>
      <w:r w:rsidRPr="00407B07">
        <w:rPr>
          <w:rFonts w:eastAsia="Times New Roman"/>
          <w:sz w:val="22"/>
          <w:szCs w:val="22"/>
        </w:rPr>
        <w:t xml:space="preserve">A qualifying exigency </w:t>
      </w:r>
    </w:p>
    <w:p w14:paraId="1AE6D1FD" w14:textId="77777777" w:rsidR="00407B07" w:rsidRPr="00407B07" w:rsidRDefault="00407B07" w:rsidP="0010609C">
      <w:pPr>
        <w:pStyle w:val="ListParagraph"/>
        <w:numPr>
          <w:ilvl w:val="0"/>
          <w:numId w:val="13"/>
        </w:numPr>
        <w:spacing w:after="220" w:line="240" w:lineRule="auto"/>
        <w:rPr>
          <w:rFonts w:eastAsia="Times New Roman"/>
          <w:sz w:val="22"/>
          <w:szCs w:val="22"/>
        </w:rPr>
      </w:pPr>
      <w:r w:rsidRPr="00407B07">
        <w:rPr>
          <w:rFonts w:eastAsia="Times New Roman"/>
          <w:sz w:val="22"/>
          <w:szCs w:val="22"/>
        </w:rPr>
        <w:t>Safety leave</w:t>
      </w:r>
    </w:p>
    <w:p w14:paraId="2412A151" w14:textId="77777777" w:rsidR="00407B07" w:rsidRPr="00407B07" w:rsidRDefault="00407B07" w:rsidP="0010609C">
      <w:pPr>
        <w:pStyle w:val="ListParagraph"/>
        <w:numPr>
          <w:ilvl w:val="0"/>
          <w:numId w:val="13"/>
        </w:numPr>
        <w:spacing w:after="220" w:line="240" w:lineRule="auto"/>
        <w:rPr>
          <w:rFonts w:eastAsia="Times New Roman"/>
          <w:sz w:val="22"/>
          <w:szCs w:val="22"/>
        </w:rPr>
      </w:pPr>
      <w:r w:rsidRPr="00407B07">
        <w:rPr>
          <w:rFonts w:eastAsia="Times New Roman"/>
          <w:sz w:val="22"/>
          <w:szCs w:val="22"/>
        </w:rPr>
        <w:t>Family care</w:t>
      </w:r>
    </w:p>
    <w:p w14:paraId="79C3620F" w14:textId="77777777" w:rsidR="00407B07" w:rsidRPr="00407B07" w:rsidRDefault="00407B07" w:rsidP="0010609C">
      <w:pPr>
        <w:pStyle w:val="ListParagraph"/>
        <w:numPr>
          <w:ilvl w:val="0"/>
          <w:numId w:val="13"/>
        </w:numPr>
        <w:spacing w:after="220" w:line="240" w:lineRule="auto"/>
        <w:rPr>
          <w:rFonts w:eastAsia="Times New Roman"/>
          <w:sz w:val="22"/>
          <w:szCs w:val="22"/>
        </w:rPr>
      </w:pPr>
      <w:r w:rsidRPr="00407B07">
        <w:rPr>
          <w:rFonts w:eastAsia="Times New Roman"/>
          <w:sz w:val="22"/>
          <w:szCs w:val="22"/>
        </w:rPr>
        <w:t>Bonding (birth, adoption or placement of a foster child)</w:t>
      </w:r>
    </w:p>
    <w:p w14:paraId="5795DE25" w14:textId="77777777" w:rsidR="00407B07" w:rsidRDefault="00407B07" w:rsidP="0010609C">
      <w:pPr>
        <w:spacing w:after="220" w:line="240" w:lineRule="auto"/>
        <w:rPr>
          <w:rFonts w:eastAsia="Times New Roman"/>
          <w:sz w:val="22"/>
          <w:szCs w:val="22"/>
        </w:rPr>
      </w:pPr>
      <w:r w:rsidRPr="00407B07">
        <w:rPr>
          <w:rFonts w:eastAsia="Times New Roman"/>
          <w:sz w:val="22"/>
          <w:szCs w:val="22"/>
        </w:rPr>
        <w:t xml:space="preserve">Absences due to a work-related injury will run concurrent with FMLA but are subject to the workers’ compensation offset outlined under PFML. </w:t>
      </w:r>
    </w:p>
    <w:p w14:paraId="1CCF035C" w14:textId="1213FB38" w:rsidR="00407B07" w:rsidRDefault="00407B07" w:rsidP="0010609C">
      <w:pPr>
        <w:pStyle w:val="Heading2"/>
        <w:spacing w:line="240" w:lineRule="auto"/>
        <w:rPr>
          <w:rFonts w:eastAsia="Times New Roman"/>
          <w:sz w:val="28"/>
          <w:szCs w:val="24"/>
        </w:rPr>
      </w:pPr>
      <w:r w:rsidRPr="00407B07">
        <w:rPr>
          <w:rFonts w:eastAsia="Times New Roman"/>
          <w:sz w:val="28"/>
          <w:szCs w:val="24"/>
        </w:rPr>
        <w:t>Amount of Leave</w:t>
      </w:r>
    </w:p>
    <w:p w14:paraId="26D48E4F" w14:textId="77777777" w:rsidR="0010609C" w:rsidRDefault="00407B07" w:rsidP="0010609C">
      <w:pPr>
        <w:spacing w:line="240" w:lineRule="auto"/>
        <w:rPr>
          <w:rFonts w:eastAsia="Times New Roman"/>
          <w:sz w:val="22"/>
          <w:szCs w:val="22"/>
        </w:rPr>
      </w:pPr>
      <w:r w:rsidRPr="00407B07">
        <w:rPr>
          <w:rFonts w:eastAsia="Times New Roman"/>
          <w:sz w:val="22"/>
          <w:szCs w:val="22"/>
        </w:rPr>
        <w:t xml:space="preserve">Leave that is both FMLA and PFML eligible will run concurrently and cannot be stacked. Leave will also run concurrently with leave taken for the same purpose under Minnesota’s Pregnancy and Parental Leave statute (MN Statute </w:t>
      </w:r>
      <w:r w:rsidRPr="00407B07">
        <w:rPr>
          <w:sz w:val="22"/>
          <w:szCs w:val="22"/>
        </w:rPr>
        <w:t>§</w:t>
      </w:r>
      <w:r w:rsidRPr="00407B07">
        <w:rPr>
          <w:rFonts w:eastAsia="Times New Roman"/>
          <w:sz w:val="22"/>
          <w:szCs w:val="22"/>
        </w:rPr>
        <w:t xml:space="preserve"> 181.941) and other State or Federal leave entitlement programs. The City of Rochester will use a measured forward method to calculate FMLA, as that coincides with the PFML calculation method used by the State.</w:t>
      </w:r>
    </w:p>
    <w:p w14:paraId="34512F3D" w14:textId="77777777" w:rsidR="0010609C" w:rsidRDefault="00407B07" w:rsidP="0010609C">
      <w:pPr>
        <w:spacing w:line="240" w:lineRule="auto"/>
        <w:rPr>
          <w:sz w:val="22"/>
          <w:szCs w:val="22"/>
        </w:rPr>
      </w:pPr>
      <w:r w:rsidRPr="00407B07">
        <w:rPr>
          <w:rFonts w:eastAsia="Times New Roman"/>
          <w:sz w:val="22"/>
          <w:szCs w:val="22"/>
        </w:rPr>
        <w:t xml:space="preserve">Eligible employees may take up to 12 weeks of leave per 12-month period based on the preceding 12 month-period prior to the commencement of the leave. </w:t>
      </w:r>
      <w:r w:rsidRPr="00407B07">
        <w:rPr>
          <w:sz w:val="22"/>
          <w:szCs w:val="22"/>
        </w:rPr>
        <w:t xml:space="preserve">Leave may be taken in consecutive days, intermittently or used to reduce the workweek or workday, resulting in a reduced-hour schedule. The workweek or workday is based on the employee’s scheduled work hours. Leave must be taken in no less than 15-minute increments. </w:t>
      </w:r>
    </w:p>
    <w:p w14:paraId="1DF0B88A" w14:textId="77777777" w:rsidR="0010609C" w:rsidRDefault="00407B07" w:rsidP="0010609C">
      <w:pPr>
        <w:spacing w:line="240" w:lineRule="auto"/>
        <w:rPr>
          <w:rFonts w:eastAsia="Times New Roman"/>
          <w:sz w:val="22"/>
          <w:szCs w:val="22"/>
        </w:rPr>
      </w:pPr>
      <w:r w:rsidRPr="00407B07">
        <w:rPr>
          <w:rFonts w:eastAsia="Times New Roman"/>
          <w:sz w:val="22"/>
          <w:szCs w:val="22"/>
        </w:rPr>
        <w:t>An eligible employee can take up to 26 weeks for the FMLA military caregiver leave during a single 12-month period.  Any leave already taken for other FMLA circumstances will reduce the available 26 weeks.</w:t>
      </w:r>
    </w:p>
    <w:p w14:paraId="44DE4CB0" w14:textId="77777777" w:rsidR="0010609C" w:rsidRDefault="00407B07" w:rsidP="0010609C">
      <w:pPr>
        <w:spacing w:line="240" w:lineRule="auto"/>
        <w:rPr>
          <w:rFonts w:eastAsia="Times New Roman"/>
          <w:sz w:val="22"/>
          <w:szCs w:val="22"/>
        </w:rPr>
      </w:pPr>
      <w:r w:rsidRPr="00407B07">
        <w:rPr>
          <w:rFonts w:eastAsia="Times New Roman"/>
          <w:sz w:val="22"/>
          <w:szCs w:val="22"/>
        </w:rPr>
        <w:t xml:space="preserve">Eligible spouses who both work for the City of Rochester share a total of 12 workweeks of FMLA leave per leave year for bonding time related to the birth of a child; placement of a child for adoption or foster care; or the care of a parent(s) with a serious health condition.  They also share the 26 workweeks of FMLA to care for a military family member with a serious injury or illness. </w:t>
      </w:r>
    </w:p>
    <w:p w14:paraId="496C3786" w14:textId="77777777" w:rsidR="0010609C" w:rsidRDefault="00407B07" w:rsidP="0010609C">
      <w:pPr>
        <w:spacing w:line="240" w:lineRule="auto"/>
        <w:rPr>
          <w:rFonts w:eastAsia="Times New Roman"/>
          <w:sz w:val="22"/>
          <w:szCs w:val="22"/>
        </w:rPr>
      </w:pPr>
      <w:r w:rsidRPr="00407B07">
        <w:rPr>
          <w:sz w:val="22"/>
          <w:szCs w:val="22"/>
        </w:rPr>
        <w:t>The entitlement to FMLA and PFML leave for the birth or placement of a child for adoption expires twelve (12) months after the birth or placement of that child.  In the instance the child is hospitalized longer than the mother, the FMLA 12-month window within which the parent can take leave begins when the child leaves the hospital.</w:t>
      </w:r>
    </w:p>
    <w:p w14:paraId="3608424B" w14:textId="77777777" w:rsidR="0010609C" w:rsidRDefault="00407B07" w:rsidP="0010609C">
      <w:pPr>
        <w:spacing w:line="240" w:lineRule="auto"/>
        <w:rPr>
          <w:rFonts w:eastAsia="Times New Roman"/>
          <w:sz w:val="22"/>
          <w:szCs w:val="22"/>
        </w:rPr>
      </w:pPr>
      <w:r w:rsidRPr="00407B07">
        <w:rPr>
          <w:sz w:val="22"/>
          <w:szCs w:val="22"/>
        </w:rPr>
        <w:t xml:space="preserve">Intermittent leave may be taken when medically necessary for the employee’s or family member’s qualifying serious health condition. Intermittent leave must be documented in the medical certification form as medically necessary. Intermittent leave may not exceed 12 weeks under FMLA and may not exceed 480 hours under PFML in a calendar year.  </w:t>
      </w:r>
    </w:p>
    <w:p w14:paraId="712303A2" w14:textId="6FC3650B" w:rsidR="00407B07" w:rsidRDefault="00407B07" w:rsidP="0010609C">
      <w:pPr>
        <w:spacing w:line="240" w:lineRule="auto"/>
        <w:rPr>
          <w:sz w:val="22"/>
          <w:szCs w:val="22"/>
        </w:rPr>
      </w:pPr>
      <w:r w:rsidRPr="00407B07">
        <w:rPr>
          <w:sz w:val="22"/>
          <w:szCs w:val="22"/>
        </w:rPr>
        <w:t xml:space="preserve">Intermittent or reduced schedule leave for the birth, adoption or placement of a child will only be granted in the event it does not unduly disrupt the workplace, which may include consideration for overtime costs and annual vacation/PTO picks. Intermittent or reduced schedule leave for individuals not covered under Minnesota PFML will be limited to no more than two independent periods of time off. Intermittent or reduced schedule leave for the birth, adoption or placement of a child must be pre-approved by the </w:t>
      </w:r>
      <w:proofErr w:type="gramStart"/>
      <w:r w:rsidRPr="00407B07">
        <w:rPr>
          <w:sz w:val="22"/>
          <w:szCs w:val="22"/>
        </w:rPr>
        <w:t>supervisor</w:t>
      </w:r>
      <w:proofErr w:type="gramEnd"/>
      <w:r w:rsidRPr="00407B07">
        <w:rPr>
          <w:sz w:val="22"/>
          <w:szCs w:val="22"/>
        </w:rPr>
        <w:t xml:space="preserve"> and Human Resources and all dates must be submitted at the time of the initial leave request. Adjustments to the intermittent or reduced leave schedule for the birth, adoption or placement of a child will not be allowed, </w:t>
      </w:r>
      <w:proofErr w:type="gramStart"/>
      <w:r w:rsidRPr="00407B07">
        <w:rPr>
          <w:sz w:val="22"/>
          <w:szCs w:val="22"/>
        </w:rPr>
        <w:t>with the exception of</w:t>
      </w:r>
      <w:proofErr w:type="gramEnd"/>
      <w:r w:rsidRPr="00407B07">
        <w:rPr>
          <w:sz w:val="22"/>
          <w:szCs w:val="22"/>
        </w:rPr>
        <w:t xml:space="preserve"> the adjustment of dates due to actual delivery date. </w:t>
      </w:r>
    </w:p>
    <w:p w14:paraId="26D40C21" w14:textId="5F57B98E" w:rsidR="0010609C" w:rsidRPr="0010609C" w:rsidRDefault="0010609C" w:rsidP="0010609C">
      <w:pPr>
        <w:pStyle w:val="Heading2"/>
        <w:spacing w:line="240" w:lineRule="auto"/>
        <w:rPr>
          <w:rFonts w:eastAsia="Times New Roman"/>
          <w:sz w:val="28"/>
          <w:szCs w:val="24"/>
        </w:rPr>
      </w:pPr>
      <w:r w:rsidRPr="0010609C">
        <w:rPr>
          <w:rFonts w:eastAsia="Times New Roman"/>
          <w:sz w:val="28"/>
          <w:szCs w:val="24"/>
        </w:rPr>
        <w:t>Qualifying Family Relationship</w:t>
      </w:r>
    </w:p>
    <w:p w14:paraId="23ACE28E" w14:textId="77777777" w:rsidR="0010609C" w:rsidRPr="0010609C" w:rsidRDefault="0010609C" w:rsidP="0010609C">
      <w:pPr>
        <w:spacing w:line="240" w:lineRule="auto"/>
        <w:rPr>
          <w:rFonts w:eastAsia="Times New Roman"/>
          <w:sz w:val="22"/>
          <w:szCs w:val="22"/>
        </w:rPr>
      </w:pPr>
      <w:r w:rsidRPr="0010609C">
        <w:rPr>
          <w:rFonts w:eastAsia="Times New Roman"/>
          <w:sz w:val="22"/>
          <w:szCs w:val="22"/>
        </w:rPr>
        <w:t>FMLA definition of a family member means, with respect to an employee:</w:t>
      </w:r>
    </w:p>
    <w:p w14:paraId="3A7C2060" w14:textId="77777777" w:rsidR="0010609C" w:rsidRPr="0010609C" w:rsidRDefault="0010609C" w:rsidP="0010609C">
      <w:pPr>
        <w:pStyle w:val="ListParagraph"/>
        <w:numPr>
          <w:ilvl w:val="0"/>
          <w:numId w:val="15"/>
        </w:numPr>
        <w:spacing w:after="0" w:line="240" w:lineRule="auto"/>
        <w:rPr>
          <w:rFonts w:eastAsia="Times New Roman"/>
          <w:sz w:val="22"/>
          <w:szCs w:val="22"/>
        </w:rPr>
      </w:pPr>
      <w:r w:rsidRPr="0010609C">
        <w:rPr>
          <w:rFonts w:eastAsia="Times New Roman"/>
          <w:sz w:val="22"/>
          <w:szCs w:val="22"/>
        </w:rPr>
        <w:lastRenderedPageBreak/>
        <w:t>A spouse</w:t>
      </w:r>
    </w:p>
    <w:p w14:paraId="46F2E4F5" w14:textId="77777777" w:rsidR="0010609C" w:rsidRPr="0010609C" w:rsidRDefault="0010609C" w:rsidP="0010609C">
      <w:pPr>
        <w:pStyle w:val="ListParagraph"/>
        <w:numPr>
          <w:ilvl w:val="0"/>
          <w:numId w:val="15"/>
        </w:numPr>
        <w:spacing w:after="0" w:line="240" w:lineRule="auto"/>
        <w:rPr>
          <w:rFonts w:eastAsia="Times New Roman"/>
          <w:sz w:val="22"/>
          <w:szCs w:val="22"/>
        </w:rPr>
      </w:pPr>
      <w:r w:rsidRPr="0010609C">
        <w:rPr>
          <w:rFonts w:eastAsia="Times New Roman"/>
          <w:sz w:val="22"/>
          <w:szCs w:val="22"/>
        </w:rPr>
        <w:t>A parent</w:t>
      </w:r>
    </w:p>
    <w:p w14:paraId="79417387" w14:textId="45C9B541" w:rsidR="0010609C" w:rsidRPr="0010609C" w:rsidRDefault="0010609C" w:rsidP="0010609C">
      <w:pPr>
        <w:pStyle w:val="ListParagraph"/>
        <w:numPr>
          <w:ilvl w:val="0"/>
          <w:numId w:val="15"/>
        </w:numPr>
        <w:spacing w:after="0" w:line="240" w:lineRule="auto"/>
        <w:rPr>
          <w:rFonts w:eastAsia="Times New Roman"/>
          <w:sz w:val="22"/>
          <w:szCs w:val="22"/>
        </w:rPr>
      </w:pPr>
      <w:r w:rsidRPr="0010609C">
        <w:rPr>
          <w:rFonts w:eastAsia="Times New Roman"/>
          <w:sz w:val="22"/>
          <w:szCs w:val="22"/>
        </w:rPr>
        <w:t xml:space="preserve">A child, including a biological, adopted, or foster child, stepchild, legal ward or child of a person standing in loco parentis, who is either under age 18, or age 18 or older and incapable of self-care because of a mental or physical disability at the time that FMLA leave is to commence. </w:t>
      </w:r>
    </w:p>
    <w:p w14:paraId="0D80CE88" w14:textId="77777777" w:rsidR="0010609C" w:rsidRDefault="0010609C" w:rsidP="0010609C">
      <w:pPr>
        <w:spacing w:line="240" w:lineRule="auto"/>
        <w:rPr>
          <w:rFonts w:eastAsia="Times New Roman"/>
          <w:sz w:val="22"/>
          <w:szCs w:val="22"/>
        </w:rPr>
      </w:pPr>
    </w:p>
    <w:p w14:paraId="5EF9F98D" w14:textId="663B56E0" w:rsidR="0010609C" w:rsidRPr="0010609C" w:rsidRDefault="0010609C" w:rsidP="0010609C">
      <w:pPr>
        <w:spacing w:line="240" w:lineRule="auto"/>
        <w:rPr>
          <w:rFonts w:eastAsia="Times New Roman"/>
          <w:sz w:val="22"/>
          <w:szCs w:val="22"/>
        </w:rPr>
      </w:pPr>
      <w:r w:rsidRPr="0010609C">
        <w:rPr>
          <w:rFonts w:eastAsia="Times New Roman"/>
          <w:sz w:val="22"/>
          <w:szCs w:val="22"/>
        </w:rPr>
        <w:t>PFML definition of a family member means, with respect to an employee:</w:t>
      </w:r>
    </w:p>
    <w:p w14:paraId="36E78BA3" w14:textId="77777777" w:rsidR="0010609C" w:rsidRPr="0010609C" w:rsidRDefault="0010609C" w:rsidP="0010609C">
      <w:pPr>
        <w:pStyle w:val="ListParagraph"/>
        <w:numPr>
          <w:ilvl w:val="0"/>
          <w:numId w:val="14"/>
        </w:numPr>
        <w:spacing w:after="0" w:line="240" w:lineRule="auto"/>
        <w:rPr>
          <w:rFonts w:eastAsia="Times New Roman"/>
          <w:sz w:val="22"/>
          <w:szCs w:val="22"/>
        </w:rPr>
      </w:pPr>
      <w:r w:rsidRPr="0010609C">
        <w:rPr>
          <w:rFonts w:eastAsia="Times New Roman"/>
          <w:sz w:val="22"/>
          <w:szCs w:val="22"/>
        </w:rPr>
        <w:t>A spouse or domestic partner</w:t>
      </w:r>
    </w:p>
    <w:p w14:paraId="6BE4B7E4" w14:textId="77777777" w:rsidR="0010609C" w:rsidRPr="0010609C" w:rsidRDefault="0010609C" w:rsidP="0010609C">
      <w:pPr>
        <w:pStyle w:val="ListParagraph"/>
        <w:numPr>
          <w:ilvl w:val="0"/>
          <w:numId w:val="14"/>
        </w:numPr>
        <w:spacing w:after="0" w:line="240" w:lineRule="auto"/>
        <w:rPr>
          <w:rFonts w:eastAsia="Times New Roman"/>
          <w:sz w:val="22"/>
          <w:szCs w:val="22"/>
        </w:rPr>
      </w:pPr>
      <w:r w:rsidRPr="0010609C">
        <w:rPr>
          <w:rFonts w:eastAsia="Times New Roman"/>
          <w:sz w:val="22"/>
          <w:szCs w:val="22"/>
        </w:rPr>
        <w:t xml:space="preserve">A child, including a biological child, adopted child, foster child, stepchild, child of a domestic partner, or child to whom the applicant stands in loco parentis, is a legal guardian, or is a de facto </w:t>
      </w:r>
      <w:proofErr w:type="gramStart"/>
      <w:r w:rsidRPr="0010609C">
        <w:rPr>
          <w:rFonts w:eastAsia="Times New Roman"/>
          <w:sz w:val="22"/>
          <w:szCs w:val="22"/>
        </w:rPr>
        <w:t>custodian;</w:t>
      </w:r>
      <w:proofErr w:type="gramEnd"/>
    </w:p>
    <w:p w14:paraId="406F9133" w14:textId="77777777" w:rsidR="0010609C" w:rsidRPr="0010609C" w:rsidRDefault="0010609C" w:rsidP="0010609C">
      <w:pPr>
        <w:pStyle w:val="ListParagraph"/>
        <w:numPr>
          <w:ilvl w:val="0"/>
          <w:numId w:val="14"/>
        </w:numPr>
        <w:spacing w:after="0" w:line="240" w:lineRule="auto"/>
        <w:rPr>
          <w:rFonts w:eastAsia="Times New Roman"/>
          <w:sz w:val="22"/>
          <w:szCs w:val="22"/>
        </w:rPr>
      </w:pPr>
      <w:r w:rsidRPr="0010609C">
        <w:rPr>
          <w:rFonts w:eastAsia="Times New Roman"/>
          <w:sz w:val="22"/>
          <w:szCs w:val="22"/>
        </w:rPr>
        <w:t xml:space="preserve">A parent or legal guardian of the </w:t>
      </w:r>
      <w:proofErr w:type="gramStart"/>
      <w:r w:rsidRPr="0010609C">
        <w:rPr>
          <w:rFonts w:eastAsia="Times New Roman"/>
          <w:sz w:val="22"/>
          <w:szCs w:val="22"/>
        </w:rPr>
        <w:t>applicant;</w:t>
      </w:r>
      <w:proofErr w:type="gramEnd"/>
    </w:p>
    <w:p w14:paraId="1322369C" w14:textId="77777777" w:rsidR="0010609C" w:rsidRPr="0010609C" w:rsidRDefault="0010609C" w:rsidP="0010609C">
      <w:pPr>
        <w:pStyle w:val="ListParagraph"/>
        <w:numPr>
          <w:ilvl w:val="0"/>
          <w:numId w:val="14"/>
        </w:numPr>
        <w:spacing w:after="0" w:line="240" w:lineRule="auto"/>
        <w:rPr>
          <w:rFonts w:eastAsia="Times New Roman"/>
          <w:sz w:val="22"/>
          <w:szCs w:val="22"/>
        </w:rPr>
      </w:pPr>
      <w:r w:rsidRPr="0010609C">
        <w:rPr>
          <w:rFonts w:eastAsia="Times New Roman"/>
          <w:sz w:val="22"/>
          <w:szCs w:val="22"/>
        </w:rPr>
        <w:t xml:space="preserve">A </w:t>
      </w:r>
      <w:proofErr w:type="gramStart"/>
      <w:r w:rsidRPr="0010609C">
        <w:rPr>
          <w:rFonts w:eastAsia="Times New Roman"/>
          <w:sz w:val="22"/>
          <w:szCs w:val="22"/>
        </w:rPr>
        <w:t>sibling;</w:t>
      </w:r>
      <w:proofErr w:type="gramEnd"/>
    </w:p>
    <w:p w14:paraId="2295B36C" w14:textId="77777777" w:rsidR="0010609C" w:rsidRPr="0010609C" w:rsidRDefault="0010609C" w:rsidP="0010609C">
      <w:pPr>
        <w:pStyle w:val="ListParagraph"/>
        <w:numPr>
          <w:ilvl w:val="0"/>
          <w:numId w:val="14"/>
        </w:numPr>
        <w:spacing w:after="0" w:line="240" w:lineRule="auto"/>
        <w:rPr>
          <w:rFonts w:eastAsia="Times New Roman"/>
          <w:sz w:val="22"/>
          <w:szCs w:val="22"/>
        </w:rPr>
      </w:pPr>
      <w:r w:rsidRPr="0010609C">
        <w:rPr>
          <w:rFonts w:eastAsia="Times New Roman"/>
          <w:sz w:val="22"/>
          <w:szCs w:val="22"/>
        </w:rPr>
        <w:t xml:space="preserve">A </w:t>
      </w:r>
      <w:proofErr w:type="gramStart"/>
      <w:r w:rsidRPr="0010609C">
        <w:rPr>
          <w:rFonts w:eastAsia="Times New Roman"/>
          <w:sz w:val="22"/>
          <w:szCs w:val="22"/>
        </w:rPr>
        <w:t>grandchild;</w:t>
      </w:r>
      <w:proofErr w:type="gramEnd"/>
    </w:p>
    <w:p w14:paraId="64110B47" w14:textId="77777777" w:rsidR="0010609C" w:rsidRPr="0010609C" w:rsidRDefault="0010609C" w:rsidP="0010609C">
      <w:pPr>
        <w:pStyle w:val="ListParagraph"/>
        <w:numPr>
          <w:ilvl w:val="0"/>
          <w:numId w:val="14"/>
        </w:numPr>
        <w:spacing w:after="0" w:line="240" w:lineRule="auto"/>
        <w:rPr>
          <w:rFonts w:eastAsia="Times New Roman"/>
          <w:sz w:val="22"/>
          <w:szCs w:val="22"/>
        </w:rPr>
      </w:pPr>
      <w:r w:rsidRPr="0010609C">
        <w:rPr>
          <w:rFonts w:eastAsia="Times New Roman"/>
          <w:sz w:val="22"/>
          <w:szCs w:val="22"/>
        </w:rPr>
        <w:t xml:space="preserve">A grandparent or spouse’s </w:t>
      </w:r>
      <w:proofErr w:type="gramStart"/>
      <w:r w:rsidRPr="0010609C">
        <w:rPr>
          <w:rFonts w:eastAsia="Times New Roman"/>
          <w:sz w:val="22"/>
          <w:szCs w:val="22"/>
        </w:rPr>
        <w:t>grandparent;</w:t>
      </w:r>
      <w:proofErr w:type="gramEnd"/>
    </w:p>
    <w:p w14:paraId="7CEA82D9" w14:textId="77777777" w:rsidR="0010609C" w:rsidRPr="0010609C" w:rsidRDefault="0010609C" w:rsidP="0010609C">
      <w:pPr>
        <w:pStyle w:val="ListParagraph"/>
        <w:numPr>
          <w:ilvl w:val="0"/>
          <w:numId w:val="14"/>
        </w:numPr>
        <w:spacing w:after="0" w:line="240" w:lineRule="auto"/>
        <w:rPr>
          <w:rFonts w:eastAsia="Times New Roman"/>
          <w:sz w:val="22"/>
          <w:szCs w:val="22"/>
        </w:rPr>
      </w:pPr>
      <w:r w:rsidRPr="0010609C">
        <w:rPr>
          <w:rFonts w:eastAsia="Times New Roman"/>
          <w:sz w:val="22"/>
          <w:szCs w:val="22"/>
        </w:rPr>
        <w:t>A son-in-law or daughter-in-law; and</w:t>
      </w:r>
    </w:p>
    <w:p w14:paraId="44CA019C" w14:textId="0C0C60AD" w:rsidR="0010609C" w:rsidRPr="0010609C" w:rsidRDefault="0010609C" w:rsidP="0010609C">
      <w:pPr>
        <w:pStyle w:val="ListParagraph"/>
        <w:numPr>
          <w:ilvl w:val="0"/>
          <w:numId w:val="14"/>
        </w:numPr>
        <w:spacing w:after="0" w:line="240" w:lineRule="auto"/>
        <w:rPr>
          <w:rFonts w:eastAsia="Times New Roman"/>
          <w:sz w:val="22"/>
          <w:szCs w:val="22"/>
        </w:rPr>
      </w:pPr>
      <w:r w:rsidRPr="0010609C">
        <w:rPr>
          <w:rFonts w:eastAsia="Times New Roman"/>
          <w:sz w:val="22"/>
          <w:szCs w:val="22"/>
        </w:rPr>
        <w:t xml:space="preserve">An individual who has a personal relationship with the applicant that creates an expectation and reliance that the applicant </w:t>
      </w:r>
      <w:proofErr w:type="gramStart"/>
      <w:r w:rsidRPr="0010609C">
        <w:rPr>
          <w:rFonts w:eastAsia="Times New Roman"/>
          <w:sz w:val="22"/>
          <w:szCs w:val="22"/>
        </w:rPr>
        <w:t>care</w:t>
      </w:r>
      <w:proofErr w:type="gramEnd"/>
      <w:r w:rsidRPr="0010609C">
        <w:rPr>
          <w:rFonts w:eastAsia="Times New Roman"/>
          <w:sz w:val="22"/>
          <w:szCs w:val="22"/>
        </w:rPr>
        <w:t xml:space="preserve"> for the individual without compensation, </w:t>
      </w:r>
      <w:proofErr w:type="gramStart"/>
      <w:r w:rsidRPr="0010609C">
        <w:rPr>
          <w:rFonts w:eastAsia="Times New Roman"/>
          <w:sz w:val="22"/>
          <w:szCs w:val="22"/>
        </w:rPr>
        <w:t>whether or not</w:t>
      </w:r>
      <w:proofErr w:type="gramEnd"/>
      <w:r w:rsidRPr="0010609C">
        <w:rPr>
          <w:rFonts w:eastAsia="Times New Roman"/>
          <w:sz w:val="22"/>
          <w:szCs w:val="22"/>
        </w:rPr>
        <w:t xml:space="preserve"> the applicant and the individual reside together.</w:t>
      </w:r>
    </w:p>
    <w:p w14:paraId="2F740137" w14:textId="220177D8" w:rsidR="00231133" w:rsidRPr="007A0EA6" w:rsidRDefault="0010609C" w:rsidP="0010609C">
      <w:pPr>
        <w:pStyle w:val="Heading1"/>
        <w:spacing w:line="240" w:lineRule="auto"/>
        <w:rPr>
          <w:sz w:val="36"/>
          <w:szCs w:val="36"/>
        </w:rPr>
      </w:pPr>
      <w:r>
        <w:rPr>
          <w:sz w:val="36"/>
          <w:szCs w:val="36"/>
        </w:rPr>
        <w:t>Eligibility</w:t>
      </w:r>
    </w:p>
    <w:p w14:paraId="64D9D313" w14:textId="77777777" w:rsidR="0010609C" w:rsidRPr="0010609C" w:rsidRDefault="0010609C" w:rsidP="0010609C">
      <w:pPr>
        <w:spacing w:line="240" w:lineRule="auto"/>
        <w:rPr>
          <w:rFonts w:eastAsia="Times New Roman"/>
          <w:sz w:val="22"/>
          <w:szCs w:val="22"/>
        </w:rPr>
      </w:pPr>
      <w:r w:rsidRPr="0010609C">
        <w:rPr>
          <w:rFonts w:eastAsia="Times New Roman"/>
          <w:sz w:val="22"/>
          <w:szCs w:val="22"/>
        </w:rPr>
        <w:t xml:space="preserve">To be eligible for leave under FMLA, employees must have a qualifying leave that is expected to last at least 3 consecutive or non-consecutive days and meet </w:t>
      </w:r>
      <w:proofErr w:type="gramStart"/>
      <w:r w:rsidRPr="0010609C">
        <w:rPr>
          <w:rFonts w:eastAsia="Times New Roman"/>
          <w:b/>
          <w:bCs/>
          <w:sz w:val="22"/>
          <w:szCs w:val="22"/>
        </w:rPr>
        <w:t>all</w:t>
      </w:r>
      <w:r w:rsidRPr="0010609C">
        <w:rPr>
          <w:rFonts w:eastAsia="Times New Roman"/>
          <w:sz w:val="22"/>
          <w:szCs w:val="22"/>
        </w:rPr>
        <w:t xml:space="preserve"> of</w:t>
      </w:r>
      <w:proofErr w:type="gramEnd"/>
      <w:r w:rsidRPr="0010609C">
        <w:rPr>
          <w:rFonts w:eastAsia="Times New Roman"/>
          <w:sz w:val="22"/>
          <w:szCs w:val="22"/>
        </w:rPr>
        <w:t xml:space="preserve"> the following requirements:</w:t>
      </w:r>
    </w:p>
    <w:p w14:paraId="1383685B" w14:textId="77777777" w:rsidR="0010609C" w:rsidRPr="0010609C" w:rsidRDefault="0010609C" w:rsidP="0010609C">
      <w:pPr>
        <w:pStyle w:val="ListParagraph"/>
        <w:numPr>
          <w:ilvl w:val="0"/>
          <w:numId w:val="16"/>
        </w:numPr>
        <w:spacing w:after="0" w:line="240" w:lineRule="auto"/>
        <w:rPr>
          <w:sz w:val="22"/>
          <w:szCs w:val="22"/>
        </w:rPr>
      </w:pPr>
      <w:r w:rsidRPr="0010609C">
        <w:rPr>
          <w:rFonts w:eastAsia="Times New Roman"/>
          <w:color w:val="000000" w:themeColor="text1"/>
          <w:sz w:val="22"/>
          <w:szCs w:val="22"/>
        </w:rPr>
        <w:t xml:space="preserve">Have </w:t>
      </w:r>
      <w:proofErr w:type="gramStart"/>
      <w:r w:rsidRPr="0010609C">
        <w:rPr>
          <w:rFonts w:eastAsia="Times New Roman"/>
          <w:color w:val="000000" w:themeColor="text1"/>
          <w:sz w:val="22"/>
          <w:szCs w:val="22"/>
        </w:rPr>
        <w:t>worked</w:t>
      </w:r>
      <w:proofErr w:type="gramEnd"/>
      <w:r w:rsidRPr="0010609C">
        <w:rPr>
          <w:rFonts w:eastAsia="Times New Roman"/>
          <w:color w:val="000000" w:themeColor="text1"/>
          <w:sz w:val="22"/>
          <w:szCs w:val="22"/>
        </w:rPr>
        <w:t xml:space="preserve"> at least 12 months </w:t>
      </w:r>
      <w:proofErr w:type="gramStart"/>
      <w:r w:rsidRPr="0010609C">
        <w:rPr>
          <w:rFonts w:eastAsia="Times New Roman"/>
          <w:color w:val="000000" w:themeColor="text1"/>
          <w:sz w:val="22"/>
          <w:szCs w:val="22"/>
        </w:rPr>
        <w:t>for</w:t>
      </w:r>
      <w:proofErr w:type="gramEnd"/>
      <w:r w:rsidRPr="0010609C">
        <w:rPr>
          <w:rFonts w:eastAsia="Times New Roman"/>
          <w:color w:val="000000" w:themeColor="text1"/>
          <w:sz w:val="22"/>
          <w:szCs w:val="22"/>
        </w:rPr>
        <w:t xml:space="preserve"> the City of Rochester.  </w:t>
      </w:r>
      <w:r w:rsidRPr="0010609C">
        <w:rPr>
          <w:sz w:val="22"/>
          <w:szCs w:val="22"/>
        </w:rPr>
        <w:t>The 12 months of employment need not be consecutive but must be within 7 years of the rehire date.  All periods of absence from work due to or necessitated by service in the uniformed services are counted as hours worked in determining eligibility.</w:t>
      </w:r>
    </w:p>
    <w:p w14:paraId="3347267A" w14:textId="77777777" w:rsidR="0010609C" w:rsidRPr="0010609C" w:rsidRDefault="0010609C" w:rsidP="0010609C">
      <w:pPr>
        <w:pStyle w:val="ListParagraph"/>
        <w:numPr>
          <w:ilvl w:val="0"/>
          <w:numId w:val="16"/>
        </w:numPr>
        <w:spacing w:after="0" w:line="240" w:lineRule="auto"/>
        <w:rPr>
          <w:sz w:val="22"/>
          <w:szCs w:val="22"/>
        </w:rPr>
      </w:pPr>
      <w:r w:rsidRPr="0010609C">
        <w:rPr>
          <w:rFonts w:eastAsia="Times New Roman"/>
          <w:color w:val="000000" w:themeColor="text1"/>
          <w:sz w:val="22"/>
          <w:szCs w:val="22"/>
        </w:rPr>
        <w:t xml:space="preserve">Have worked at least 1,250 hours for the City of Rochester over the 12 months preceding the date the leave would commence </w:t>
      </w:r>
    </w:p>
    <w:p w14:paraId="4B9BF1BC" w14:textId="77777777" w:rsidR="0010609C" w:rsidRPr="0010609C" w:rsidRDefault="0010609C" w:rsidP="0010609C">
      <w:pPr>
        <w:spacing w:line="240" w:lineRule="auto"/>
        <w:rPr>
          <w:sz w:val="22"/>
          <w:szCs w:val="22"/>
        </w:rPr>
      </w:pPr>
    </w:p>
    <w:p w14:paraId="389583DA" w14:textId="77777777" w:rsidR="0010609C" w:rsidRPr="0010609C" w:rsidRDefault="0010609C" w:rsidP="0010609C">
      <w:pPr>
        <w:spacing w:line="240" w:lineRule="auto"/>
        <w:rPr>
          <w:sz w:val="22"/>
          <w:szCs w:val="22"/>
        </w:rPr>
      </w:pPr>
      <w:r w:rsidRPr="0010609C">
        <w:rPr>
          <w:sz w:val="22"/>
          <w:szCs w:val="22"/>
        </w:rPr>
        <w:t xml:space="preserve">To be eligible for leave under PFML, employees must have a qualifying leave that is expected to last at least 7 consecutive or non-consecutive days and meet </w:t>
      </w:r>
      <w:proofErr w:type="gramStart"/>
      <w:r w:rsidRPr="0010609C">
        <w:rPr>
          <w:b/>
          <w:bCs/>
          <w:sz w:val="22"/>
          <w:szCs w:val="22"/>
        </w:rPr>
        <w:t>all</w:t>
      </w:r>
      <w:r w:rsidRPr="0010609C">
        <w:rPr>
          <w:sz w:val="22"/>
          <w:szCs w:val="22"/>
        </w:rPr>
        <w:t xml:space="preserve"> of</w:t>
      </w:r>
      <w:proofErr w:type="gramEnd"/>
      <w:r w:rsidRPr="0010609C">
        <w:rPr>
          <w:sz w:val="22"/>
          <w:szCs w:val="22"/>
        </w:rPr>
        <w:t xml:space="preserve"> the following requirements:</w:t>
      </w:r>
    </w:p>
    <w:p w14:paraId="5AF011C5" w14:textId="77777777" w:rsidR="0010609C" w:rsidRPr="0010609C" w:rsidRDefault="0010609C" w:rsidP="0010609C">
      <w:pPr>
        <w:pStyle w:val="ListParagraph"/>
        <w:numPr>
          <w:ilvl w:val="0"/>
          <w:numId w:val="18"/>
        </w:numPr>
        <w:spacing w:after="0" w:line="240" w:lineRule="auto"/>
        <w:rPr>
          <w:sz w:val="22"/>
          <w:szCs w:val="22"/>
        </w:rPr>
      </w:pPr>
      <w:r w:rsidRPr="0010609C">
        <w:rPr>
          <w:sz w:val="22"/>
          <w:szCs w:val="22"/>
        </w:rPr>
        <w:t xml:space="preserve">The applicant has sufficient wage credits from an employer or employers as defined in </w:t>
      </w:r>
      <w:r w:rsidRPr="0010609C">
        <w:rPr>
          <w:rFonts w:eastAsia="Times New Roman"/>
          <w:sz w:val="22"/>
          <w:szCs w:val="22"/>
        </w:rPr>
        <w:t>Minnesota Statute 268B within the previous 12 months (approximately 5.3% of the state average annual wage)</w:t>
      </w:r>
    </w:p>
    <w:p w14:paraId="46E688A9" w14:textId="77777777" w:rsidR="0010609C" w:rsidRPr="0010609C" w:rsidRDefault="0010609C" w:rsidP="0010609C">
      <w:pPr>
        <w:pStyle w:val="ListParagraph"/>
        <w:numPr>
          <w:ilvl w:val="0"/>
          <w:numId w:val="17"/>
        </w:numPr>
        <w:spacing w:after="0" w:line="240" w:lineRule="auto"/>
        <w:rPr>
          <w:sz w:val="22"/>
          <w:szCs w:val="22"/>
        </w:rPr>
      </w:pPr>
      <w:r w:rsidRPr="0010609C">
        <w:rPr>
          <w:sz w:val="22"/>
          <w:szCs w:val="22"/>
        </w:rPr>
        <w:t xml:space="preserve">50% or more of the employment during the calendar year is performed in Minnesota; or </w:t>
      </w:r>
    </w:p>
    <w:p w14:paraId="151589EC" w14:textId="77777777" w:rsidR="0010609C" w:rsidRPr="0010609C" w:rsidRDefault="0010609C" w:rsidP="0010609C">
      <w:pPr>
        <w:pStyle w:val="ListParagraph"/>
        <w:numPr>
          <w:ilvl w:val="0"/>
          <w:numId w:val="17"/>
        </w:numPr>
        <w:spacing w:after="0" w:line="240" w:lineRule="auto"/>
        <w:rPr>
          <w:sz w:val="22"/>
          <w:szCs w:val="22"/>
        </w:rPr>
      </w:pPr>
      <w:r w:rsidRPr="0010609C">
        <w:rPr>
          <w:sz w:val="22"/>
          <w:szCs w:val="22"/>
        </w:rPr>
        <w:t xml:space="preserve">50% or more of the employment during the calendar year is not performed in Minnesota or any other single state within the United States, or United States territory or foreign nation, but some of the employment is performed in Minnesota and the employee’s residence is in Minnesota during 50% of more of the calendar year. </w:t>
      </w:r>
    </w:p>
    <w:p w14:paraId="7658E3FE" w14:textId="77777777" w:rsidR="0010609C" w:rsidRPr="0010609C" w:rsidRDefault="0010609C" w:rsidP="0010609C">
      <w:pPr>
        <w:pStyle w:val="ListParagraph"/>
        <w:spacing w:line="240" w:lineRule="auto"/>
        <w:rPr>
          <w:sz w:val="22"/>
          <w:szCs w:val="22"/>
        </w:rPr>
      </w:pPr>
    </w:p>
    <w:p w14:paraId="4B2F8F7E" w14:textId="77777777" w:rsidR="0010609C" w:rsidRPr="0010609C" w:rsidRDefault="0010609C" w:rsidP="0010609C">
      <w:pPr>
        <w:spacing w:line="240" w:lineRule="auto"/>
        <w:rPr>
          <w:sz w:val="22"/>
          <w:szCs w:val="22"/>
        </w:rPr>
      </w:pPr>
      <w:r w:rsidRPr="0010609C">
        <w:rPr>
          <w:sz w:val="22"/>
          <w:szCs w:val="22"/>
        </w:rPr>
        <w:t xml:space="preserve">While employees may be eligible for PFML, job and benefit protections are not effective until 90 days after an employee’s date of hire. </w:t>
      </w:r>
    </w:p>
    <w:p w14:paraId="45AAD9A6" w14:textId="56C32F04" w:rsidR="00231133" w:rsidRDefault="0010609C" w:rsidP="0010609C">
      <w:pPr>
        <w:pStyle w:val="Heading1"/>
        <w:spacing w:line="240" w:lineRule="auto"/>
        <w:rPr>
          <w:sz w:val="36"/>
          <w:szCs w:val="36"/>
        </w:rPr>
      </w:pPr>
      <w:r>
        <w:rPr>
          <w:sz w:val="36"/>
          <w:szCs w:val="36"/>
        </w:rPr>
        <w:lastRenderedPageBreak/>
        <w:t>Process</w:t>
      </w:r>
    </w:p>
    <w:p w14:paraId="394D2DEB" w14:textId="35BF2009" w:rsidR="0010609C" w:rsidRPr="0010609C" w:rsidRDefault="0010609C" w:rsidP="0010609C">
      <w:pPr>
        <w:pStyle w:val="Heading2"/>
        <w:spacing w:line="240" w:lineRule="auto"/>
        <w:rPr>
          <w:sz w:val="28"/>
          <w:szCs w:val="24"/>
        </w:rPr>
      </w:pPr>
      <w:r w:rsidRPr="0010609C">
        <w:rPr>
          <w:sz w:val="28"/>
          <w:szCs w:val="24"/>
        </w:rPr>
        <w:t>Notification</w:t>
      </w:r>
    </w:p>
    <w:p w14:paraId="1FC4793A" w14:textId="77777777" w:rsidR="0010609C" w:rsidRDefault="0010609C" w:rsidP="0010609C">
      <w:pPr>
        <w:spacing w:line="240" w:lineRule="auto"/>
        <w:rPr>
          <w:rFonts w:eastAsia="Times New Roman"/>
          <w:sz w:val="22"/>
          <w:szCs w:val="22"/>
        </w:rPr>
      </w:pPr>
      <w:r w:rsidRPr="0010609C">
        <w:rPr>
          <w:rFonts w:eastAsia="Times New Roman"/>
          <w:sz w:val="22"/>
          <w:szCs w:val="22"/>
        </w:rPr>
        <w:t xml:space="preserve">Request for a FMLA or PFML leave must be made by completing the Request for Leave of Absence form. In the event of an </w:t>
      </w:r>
      <w:proofErr w:type="gramStart"/>
      <w:r w:rsidRPr="0010609C">
        <w:rPr>
          <w:rFonts w:eastAsia="Times New Roman"/>
          <w:sz w:val="22"/>
          <w:szCs w:val="22"/>
        </w:rPr>
        <w:t>emergent</w:t>
      </w:r>
      <w:proofErr w:type="gramEnd"/>
      <w:r w:rsidRPr="0010609C">
        <w:rPr>
          <w:rFonts w:eastAsia="Times New Roman"/>
          <w:sz w:val="22"/>
          <w:szCs w:val="22"/>
        </w:rPr>
        <w:t xml:space="preserve"> or non-foreseeable reason, a request can be made verbally by contacting the Human Resources Department directly at 507-328-2311. The above is the only notification that will be considered proper notice. </w:t>
      </w:r>
    </w:p>
    <w:p w14:paraId="6F65127E" w14:textId="77777777" w:rsidR="0010609C" w:rsidRDefault="0010609C" w:rsidP="0010609C">
      <w:pPr>
        <w:spacing w:line="240" w:lineRule="auto"/>
        <w:rPr>
          <w:rFonts w:eastAsia="Times New Roman"/>
          <w:sz w:val="22"/>
          <w:szCs w:val="22"/>
        </w:rPr>
      </w:pPr>
      <w:r w:rsidRPr="0010609C">
        <w:rPr>
          <w:rFonts w:eastAsia="Times New Roman"/>
          <w:sz w:val="22"/>
          <w:szCs w:val="22"/>
        </w:rPr>
        <w:t xml:space="preserve">When the need for leave is foreseeable, the employee must submit a Request for Leave of Absence form, and for PFML a request with DEED, at least 30 days prior to the date on which leave is to begin.  An employee may request PFML benefits from DEED no more than 60 days prior to their need for leave. In unforeseeable situations, an employee (or other family member or responsible party) should provide as much notice as practicable, including following required departmental call-in practices. Employee notice must include sufficient information for the City to understand the </w:t>
      </w:r>
      <w:proofErr w:type="gramStart"/>
      <w:r w:rsidRPr="0010609C">
        <w:rPr>
          <w:rFonts w:eastAsia="Times New Roman"/>
          <w:sz w:val="22"/>
          <w:szCs w:val="22"/>
        </w:rPr>
        <w:t>employee’s</w:t>
      </w:r>
      <w:proofErr w:type="gramEnd"/>
      <w:r w:rsidRPr="0010609C">
        <w:rPr>
          <w:rFonts w:eastAsia="Times New Roman"/>
          <w:sz w:val="22"/>
          <w:szCs w:val="22"/>
        </w:rPr>
        <w:t xml:space="preserve"> need for the leave as well as the timing and duration of their need for leave. </w:t>
      </w:r>
    </w:p>
    <w:p w14:paraId="6DB6B68A" w14:textId="77777777" w:rsidR="0010609C" w:rsidRDefault="0010609C" w:rsidP="0010609C">
      <w:pPr>
        <w:spacing w:line="240" w:lineRule="auto"/>
        <w:rPr>
          <w:rFonts w:eastAsia="Times New Roman"/>
          <w:sz w:val="22"/>
          <w:szCs w:val="22"/>
        </w:rPr>
      </w:pPr>
      <w:r w:rsidRPr="0010609C">
        <w:rPr>
          <w:rFonts w:eastAsia="Times New Roman"/>
          <w:sz w:val="22"/>
          <w:szCs w:val="22"/>
        </w:rPr>
        <w:t xml:space="preserve">An employee requesting intermittent leave must provide the </w:t>
      </w:r>
      <w:proofErr w:type="gramStart"/>
      <w:r w:rsidRPr="0010609C">
        <w:rPr>
          <w:rFonts w:eastAsia="Times New Roman"/>
          <w:sz w:val="22"/>
          <w:szCs w:val="22"/>
        </w:rPr>
        <w:t>City</w:t>
      </w:r>
      <w:proofErr w:type="gramEnd"/>
      <w:r w:rsidRPr="0010609C">
        <w:rPr>
          <w:rFonts w:eastAsia="Times New Roman"/>
          <w:sz w:val="22"/>
          <w:szCs w:val="22"/>
        </w:rPr>
        <w:t xml:space="preserve"> with a leave schedule as soon as practicable and must make a reasonable effort to schedule intermittent leave so as not to unduly disrupt City operations. </w:t>
      </w:r>
    </w:p>
    <w:p w14:paraId="2B269960" w14:textId="77777777" w:rsidR="0010609C" w:rsidRDefault="0010609C" w:rsidP="0010609C">
      <w:pPr>
        <w:spacing w:line="240" w:lineRule="auto"/>
        <w:rPr>
          <w:rFonts w:eastAsia="Times New Roman"/>
          <w:sz w:val="22"/>
          <w:szCs w:val="22"/>
        </w:rPr>
      </w:pPr>
      <w:r w:rsidRPr="0010609C">
        <w:rPr>
          <w:rFonts w:eastAsia="Times New Roman"/>
          <w:sz w:val="22"/>
          <w:szCs w:val="22"/>
        </w:rPr>
        <w:t>An employee requesting to modify an approved FMLA or PFML, including extending an approved leave, changing an intermittent leave schedule, changing from a continuous to an intermittent leave schedule, or changing from an intermittent leave schedule to a continuous leave, must do so in writing as soon as practicable but must be communicated prior to the expiration of the original approved leave. If an employee does not request modifications prior to the expiration of the original approved leave, any absences beyond the expiration of the original leave will not be considered approved or protected and may be subject to disciplinary action, up to and including termination.</w:t>
      </w:r>
    </w:p>
    <w:p w14:paraId="4FFD628B" w14:textId="77777777" w:rsidR="0010609C" w:rsidRDefault="0010609C" w:rsidP="0010609C">
      <w:pPr>
        <w:spacing w:line="240" w:lineRule="auto"/>
        <w:rPr>
          <w:rFonts w:eastAsia="Times New Roman"/>
          <w:sz w:val="22"/>
          <w:szCs w:val="22"/>
        </w:rPr>
      </w:pPr>
      <w:r w:rsidRPr="0010609C">
        <w:rPr>
          <w:sz w:val="22"/>
          <w:szCs w:val="22"/>
        </w:rPr>
        <w:t xml:space="preserve">In instances when intermittent or reduced schedule leave is foreseeable or is for planned medical treatment, including recovery from a serious health condition, the City may temporarily transfer an employee to an available alternative position with equivalent pay and benefits if the alternative position would better accommodate the intermittent or reduced schedule. </w:t>
      </w:r>
    </w:p>
    <w:p w14:paraId="6CBFCCFA" w14:textId="00838120" w:rsidR="0010609C" w:rsidRDefault="0010609C" w:rsidP="0010609C">
      <w:pPr>
        <w:spacing w:line="240" w:lineRule="auto"/>
        <w:rPr>
          <w:rFonts w:eastAsia="Times New Roman"/>
          <w:sz w:val="22"/>
          <w:szCs w:val="22"/>
        </w:rPr>
      </w:pPr>
      <w:r w:rsidRPr="0010609C">
        <w:rPr>
          <w:rFonts w:eastAsia="Times New Roman"/>
          <w:sz w:val="22"/>
          <w:szCs w:val="22"/>
        </w:rPr>
        <w:t>If an employee fails to give proper notice for a leave with no reasonable explanation for the delay, the leave may be denied until the notice requirements are met. In the event of a foreseeable leave request, the leave would be denied until 30 days after the employee provides notice for the foreseeable leave.</w:t>
      </w:r>
    </w:p>
    <w:p w14:paraId="4218BCA2" w14:textId="63B50611" w:rsidR="0010609C" w:rsidRDefault="0010609C" w:rsidP="0010609C">
      <w:pPr>
        <w:pStyle w:val="Heading2"/>
        <w:spacing w:line="240" w:lineRule="auto"/>
        <w:rPr>
          <w:rFonts w:eastAsia="Times New Roman"/>
          <w:sz w:val="28"/>
          <w:szCs w:val="24"/>
        </w:rPr>
      </w:pPr>
      <w:r w:rsidRPr="0010609C">
        <w:rPr>
          <w:rFonts w:eastAsia="Times New Roman"/>
          <w:sz w:val="28"/>
          <w:szCs w:val="24"/>
        </w:rPr>
        <w:t>Certification and Documentation</w:t>
      </w:r>
    </w:p>
    <w:p w14:paraId="75547026" w14:textId="77777777" w:rsidR="0010609C" w:rsidRDefault="0010609C" w:rsidP="0010609C">
      <w:pPr>
        <w:spacing w:line="240" w:lineRule="auto"/>
        <w:rPr>
          <w:rFonts w:eastAsia="Times New Roman"/>
          <w:sz w:val="22"/>
          <w:szCs w:val="22"/>
        </w:rPr>
      </w:pPr>
      <w:r w:rsidRPr="0010609C">
        <w:rPr>
          <w:rFonts w:eastAsia="Times New Roman"/>
          <w:sz w:val="22"/>
          <w:szCs w:val="22"/>
        </w:rPr>
        <w:t xml:space="preserve">For leave covered under FMLA, the </w:t>
      </w:r>
      <w:proofErr w:type="gramStart"/>
      <w:r w:rsidRPr="0010609C">
        <w:rPr>
          <w:rFonts w:eastAsia="Times New Roman"/>
          <w:sz w:val="22"/>
          <w:szCs w:val="22"/>
        </w:rPr>
        <w:t>City</w:t>
      </w:r>
      <w:proofErr w:type="gramEnd"/>
      <w:r w:rsidRPr="0010609C">
        <w:rPr>
          <w:rFonts w:eastAsia="Times New Roman"/>
          <w:sz w:val="22"/>
          <w:szCs w:val="22"/>
        </w:rPr>
        <w:t xml:space="preserve"> will require the completion of the appropriate federal certification form. For medical leaves for the employee or qualifying family member, the medical certification must be signed by the attending physician or practitioner.  The form will be supplied to the </w:t>
      </w:r>
      <w:proofErr w:type="gramStart"/>
      <w:r w:rsidRPr="0010609C">
        <w:rPr>
          <w:rFonts w:eastAsia="Times New Roman"/>
          <w:sz w:val="22"/>
          <w:szCs w:val="22"/>
        </w:rPr>
        <w:t>employee</w:t>
      </w:r>
      <w:proofErr w:type="gramEnd"/>
      <w:r w:rsidRPr="0010609C">
        <w:rPr>
          <w:rFonts w:eastAsia="Times New Roman"/>
          <w:sz w:val="22"/>
          <w:szCs w:val="22"/>
        </w:rPr>
        <w:t xml:space="preserve"> within 5 days of receipt of their leave request and the form must be returned to the Human Resources Department within 15 calendar days after receipt. </w:t>
      </w:r>
      <w:r w:rsidRPr="0010609C">
        <w:rPr>
          <w:rFonts w:eastAsia="Times New Roman"/>
          <w:i/>
          <w:sz w:val="22"/>
          <w:szCs w:val="22"/>
        </w:rPr>
        <w:t>Note: Medical forms should not be submitted to a supervisor or department liaison.</w:t>
      </w:r>
      <w:r w:rsidRPr="0010609C">
        <w:rPr>
          <w:rFonts w:eastAsia="Times New Roman"/>
          <w:sz w:val="22"/>
          <w:szCs w:val="22"/>
        </w:rPr>
        <w:t xml:space="preserve"> Non-birthing parents taking leave covered under FMLA for bonding will be required to provide a birth record, birth certificate or court documentation. If the certification form or proper documentation is not submitted to Human Resources in a timely </w:t>
      </w:r>
      <w:proofErr w:type="gramStart"/>
      <w:r w:rsidRPr="0010609C">
        <w:rPr>
          <w:rFonts w:eastAsia="Times New Roman"/>
          <w:sz w:val="22"/>
          <w:szCs w:val="22"/>
        </w:rPr>
        <w:t>fashion</w:t>
      </w:r>
      <w:proofErr w:type="gramEnd"/>
      <w:r w:rsidRPr="0010609C">
        <w:rPr>
          <w:rFonts w:eastAsia="Times New Roman"/>
          <w:sz w:val="22"/>
          <w:szCs w:val="22"/>
        </w:rPr>
        <w:t>, the employee must provide a reasonable explanation for the delay. Failure to provide medical certification or proper documentation may result in denial or delay of the leave.</w:t>
      </w:r>
    </w:p>
    <w:p w14:paraId="728159A9" w14:textId="77777777" w:rsidR="0010609C" w:rsidRDefault="0010609C" w:rsidP="0010609C">
      <w:pPr>
        <w:spacing w:line="240" w:lineRule="auto"/>
        <w:rPr>
          <w:rFonts w:eastAsia="Times New Roman"/>
          <w:sz w:val="22"/>
          <w:szCs w:val="22"/>
        </w:rPr>
      </w:pPr>
      <w:r w:rsidRPr="0010609C">
        <w:rPr>
          <w:rFonts w:eastAsia="Times New Roman"/>
          <w:sz w:val="22"/>
          <w:szCs w:val="22"/>
        </w:rPr>
        <w:t xml:space="preserve">The </w:t>
      </w:r>
      <w:proofErr w:type="gramStart"/>
      <w:r w:rsidRPr="0010609C">
        <w:rPr>
          <w:rFonts w:eastAsia="Times New Roman"/>
          <w:sz w:val="22"/>
          <w:szCs w:val="22"/>
        </w:rPr>
        <w:t>City</w:t>
      </w:r>
      <w:proofErr w:type="gramEnd"/>
      <w:r w:rsidRPr="0010609C">
        <w:rPr>
          <w:rFonts w:eastAsia="Times New Roman"/>
          <w:sz w:val="22"/>
          <w:szCs w:val="22"/>
        </w:rPr>
        <w:t xml:space="preserve"> may require that an employee obtain a second opinion (at the City’s expense) from a provider designated by the </w:t>
      </w:r>
      <w:proofErr w:type="gramStart"/>
      <w:r w:rsidRPr="0010609C">
        <w:rPr>
          <w:rFonts w:eastAsia="Times New Roman"/>
          <w:sz w:val="22"/>
          <w:szCs w:val="22"/>
        </w:rPr>
        <w:t>City</w:t>
      </w:r>
      <w:proofErr w:type="gramEnd"/>
      <w:r w:rsidRPr="0010609C">
        <w:rPr>
          <w:rFonts w:eastAsia="Times New Roman"/>
          <w:sz w:val="22"/>
          <w:szCs w:val="22"/>
        </w:rPr>
        <w:t xml:space="preserve">.  If necessary to resolve a conflict between the original </w:t>
      </w:r>
      <w:r w:rsidRPr="0010609C">
        <w:rPr>
          <w:rFonts w:eastAsia="Times New Roman"/>
          <w:sz w:val="22"/>
          <w:szCs w:val="22"/>
        </w:rPr>
        <w:lastRenderedPageBreak/>
        <w:t xml:space="preserve">certification and second opinion, the </w:t>
      </w:r>
      <w:proofErr w:type="gramStart"/>
      <w:r w:rsidRPr="0010609C">
        <w:rPr>
          <w:rFonts w:eastAsia="Times New Roman"/>
          <w:sz w:val="22"/>
          <w:szCs w:val="22"/>
        </w:rPr>
        <w:t>City</w:t>
      </w:r>
      <w:proofErr w:type="gramEnd"/>
      <w:r w:rsidRPr="0010609C">
        <w:rPr>
          <w:rFonts w:eastAsia="Times New Roman"/>
          <w:sz w:val="22"/>
          <w:szCs w:val="22"/>
        </w:rPr>
        <w:t xml:space="preserve"> may require the opinion of a third health care provider, designated or approved jointly by the </w:t>
      </w:r>
      <w:proofErr w:type="gramStart"/>
      <w:r w:rsidRPr="0010609C">
        <w:rPr>
          <w:rFonts w:eastAsia="Times New Roman"/>
          <w:sz w:val="22"/>
          <w:szCs w:val="22"/>
        </w:rPr>
        <w:t>City</w:t>
      </w:r>
      <w:proofErr w:type="gramEnd"/>
      <w:r w:rsidRPr="0010609C">
        <w:rPr>
          <w:rFonts w:eastAsia="Times New Roman"/>
          <w:sz w:val="22"/>
          <w:szCs w:val="22"/>
        </w:rPr>
        <w:t xml:space="preserve"> and the employee.  This third opinion is final and binding by both the </w:t>
      </w:r>
      <w:proofErr w:type="gramStart"/>
      <w:r w:rsidRPr="0010609C">
        <w:rPr>
          <w:rFonts w:eastAsia="Times New Roman"/>
          <w:sz w:val="22"/>
          <w:szCs w:val="22"/>
        </w:rPr>
        <w:t>City</w:t>
      </w:r>
      <w:proofErr w:type="gramEnd"/>
      <w:r w:rsidRPr="0010609C">
        <w:rPr>
          <w:rFonts w:eastAsia="Times New Roman"/>
          <w:sz w:val="22"/>
          <w:szCs w:val="22"/>
        </w:rPr>
        <w:t xml:space="preserve"> and the employee.  An employee will be provisionally entitled to leave and benefits under FMLA pending the second and/or third opinion.</w:t>
      </w:r>
    </w:p>
    <w:p w14:paraId="1030D244" w14:textId="77777777" w:rsidR="0010609C" w:rsidRDefault="0010609C" w:rsidP="0010609C">
      <w:pPr>
        <w:spacing w:line="240" w:lineRule="auto"/>
        <w:rPr>
          <w:rFonts w:eastAsia="Times New Roman"/>
          <w:sz w:val="22"/>
          <w:szCs w:val="22"/>
        </w:rPr>
      </w:pPr>
      <w:r w:rsidRPr="0010609C">
        <w:rPr>
          <w:rFonts w:eastAsia="Times New Roman"/>
          <w:sz w:val="22"/>
          <w:szCs w:val="22"/>
        </w:rPr>
        <w:t xml:space="preserve">All documentation related to the employee’s or family member’s condition will be held in strict confidence and maintained in the employee’s medical records file. A summary of restrictions or terms of leave may be shared with an employee’s direct supervisor and/or department head for operational purposes. </w:t>
      </w:r>
    </w:p>
    <w:p w14:paraId="089E2202" w14:textId="77777777" w:rsidR="0010609C" w:rsidRDefault="0010609C" w:rsidP="0010609C">
      <w:pPr>
        <w:spacing w:line="240" w:lineRule="auto"/>
        <w:rPr>
          <w:rFonts w:eastAsia="Times New Roman"/>
          <w:sz w:val="22"/>
          <w:szCs w:val="22"/>
        </w:rPr>
      </w:pPr>
      <w:r w:rsidRPr="0010609C">
        <w:rPr>
          <w:rFonts w:eastAsia="Times New Roman"/>
          <w:sz w:val="22"/>
          <w:szCs w:val="22"/>
        </w:rPr>
        <w:t xml:space="preserve">When leave is due to an employee’s own serious health condition, a fitness for duty certification (FFD) may be required before an employee can return to work.  Failure </w:t>
      </w:r>
      <w:proofErr w:type="gramStart"/>
      <w:r w:rsidRPr="0010609C">
        <w:rPr>
          <w:rFonts w:eastAsia="Times New Roman"/>
          <w:sz w:val="22"/>
          <w:szCs w:val="22"/>
        </w:rPr>
        <w:t>to timely</w:t>
      </w:r>
      <w:proofErr w:type="gramEnd"/>
      <w:r w:rsidRPr="0010609C">
        <w:rPr>
          <w:rFonts w:eastAsia="Times New Roman"/>
          <w:sz w:val="22"/>
          <w:szCs w:val="22"/>
        </w:rPr>
        <w:t xml:space="preserve"> provide such certification may eliminate or delay an employee’s right to reinstatement under the FMLA.  If an employee is using intermittent leave, and reasonable safety concerns exist regarding the employee’s ability to perform his or her duties, </w:t>
      </w:r>
      <w:proofErr w:type="gramStart"/>
      <w:r w:rsidRPr="0010609C">
        <w:rPr>
          <w:rFonts w:eastAsia="Times New Roman"/>
          <w:sz w:val="22"/>
          <w:szCs w:val="22"/>
        </w:rPr>
        <w:t>a FFD</w:t>
      </w:r>
      <w:proofErr w:type="gramEnd"/>
      <w:r w:rsidRPr="0010609C">
        <w:rPr>
          <w:rFonts w:eastAsia="Times New Roman"/>
          <w:sz w:val="22"/>
          <w:szCs w:val="22"/>
        </w:rPr>
        <w:t xml:space="preserve"> certificate may be required as frequently as every 30 days during period when the employee has used intermittent leave.</w:t>
      </w:r>
    </w:p>
    <w:p w14:paraId="658CA4B9" w14:textId="4B334300" w:rsidR="0010609C" w:rsidRPr="0010609C" w:rsidRDefault="0010609C" w:rsidP="0010609C">
      <w:pPr>
        <w:spacing w:line="240" w:lineRule="auto"/>
        <w:rPr>
          <w:rFonts w:eastAsia="Times New Roman"/>
          <w:sz w:val="22"/>
          <w:szCs w:val="22"/>
        </w:rPr>
      </w:pPr>
      <w:r w:rsidRPr="0010609C">
        <w:rPr>
          <w:rFonts w:eastAsia="Times New Roman"/>
          <w:sz w:val="22"/>
          <w:szCs w:val="22"/>
        </w:rPr>
        <w:t>Employees applying for PFML will be required to complete the appropriate State of Minnesota certification form and return to DEED. If an employee is covered under both FMLA and PFML, they may have the ability to submit a copy of the State certification form to the Human Resources Department in lieu of completion of the federal FMLA form.  If an employee is only covered under PFML, and not eligible for FMLA, they must provide the Human Resources department with a copy of the certification they submit to DEED.</w:t>
      </w:r>
    </w:p>
    <w:p w14:paraId="2607D933" w14:textId="4E596339" w:rsidR="0010609C" w:rsidRDefault="0010609C" w:rsidP="0010609C">
      <w:pPr>
        <w:pStyle w:val="Heading3"/>
        <w:spacing w:line="240" w:lineRule="auto"/>
        <w:rPr>
          <w:sz w:val="24"/>
          <w:szCs w:val="22"/>
        </w:rPr>
      </w:pPr>
      <w:r w:rsidRPr="0010609C">
        <w:rPr>
          <w:sz w:val="24"/>
          <w:szCs w:val="22"/>
        </w:rPr>
        <w:t>Recertification</w:t>
      </w:r>
    </w:p>
    <w:p w14:paraId="4BD31A59" w14:textId="77777777" w:rsidR="0010609C" w:rsidRDefault="0010609C" w:rsidP="0010609C">
      <w:pPr>
        <w:spacing w:line="240" w:lineRule="auto"/>
        <w:rPr>
          <w:rFonts w:eastAsia="Times New Roman"/>
          <w:sz w:val="22"/>
          <w:szCs w:val="22"/>
        </w:rPr>
      </w:pPr>
      <w:r w:rsidRPr="0010609C">
        <w:rPr>
          <w:rFonts w:eastAsia="Times New Roman"/>
          <w:sz w:val="22"/>
          <w:szCs w:val="22"/>
        </w:rPr>
        <w:t xml:space="preserve">The </w:t>
      </w:r>
      <w:proofErr w:type="gramStart"/>
      <w:r w:rsidRPr="0010609C">
        <w:rPr>
          <w:rFonts w:eastAsia="Times New Roman"/>
          <w:sz w:val="22"/>
          <w:szCs w:val="22"/>
        </w:rPr>
        <w:t>City</w:t>
      </w:r>
      <w:proofErr w:type="gramEnd"/>
      <w:r w:rsidRPr="0010609C">
        <w:rPr>
          <w:rFonts w:eastAsia="Times New Roman"/>
          <w:sz w:val="22"/>
          <w:szCs w:val="22"/>
        </w:rPr>
        <w:t xml:space="preserve"> will request a recertification at least every six months in connection with an approved FMLA leave of absence. A recertification may be required more frequently in the event an extension of leave is requested by the employee, circumstances described by previous certification(s) have changed significantly, or the City receives information that creates doubt upon the employee’s stated reason for absence or the continued validity of the certification.</w:t>
      </w:r>
    </w:p>
    <w:p w14:paraId="35AA7FAB" w14:textId="77777777" w:rsidR="0010609C" w:rsidRDefault="0010609C" w:rsidP="0010609C">
      <w:pPr>
        <w:spacing w:line="240" w:lineRule="auto"/>
        <w:rPr>
          <w:rFonts w:eastAsia="Times New Roman"/>
          <w:sz w:val="22"/>
          <w:szCs w:val="22"/>
        </w:rPr>
      </w:pPr>
      <w:r w:rsidRPr="0010609C">
        <w:rPr>
          <w:rFonts w:eastAsia="Times New Roman"/>
          <w:sz w:val="22"/>
          <w:szCs w:val="22"/>
        </w:rPr>
        <w:t xml:space="preserve">The employee must provide the requested recertification to the </w:t>
      </w:r>
      <w:proofErr w:type="gramStart"/>
      <w:r w:rsidRPr="0010609C">
        <w:rPr>
          <w:rFonts w:eastAsia="Times New Roman"/>
          <w:sz w:val="22"/>
          <w:szCs w:val="22"/>
        </w:rPr>
        <w:t>City</w:t>
      </w:r>
      <w:proofErr w:type="gramEnd"/>
      <w:r w:rsidRPr="0010609C">
        <w:rPr>
          <w:rFonts w:eastAsia="Times New Roman"/>
          <w:sz w:val="22"/>
          <w:szCs w:val="22"/>
        </w:rPr>
        <w:t xml:space="preserve"> within 15 days of the request, unless it is not practicable under the circumstances to do so.</w:t>
      </w:r>
    </w:p>
    <w:p w14:paraId="194EE36C" w14:textId="77777777" w:rsidR="0010609C" w:rsidRDefault="0010609C" w:rsidP="0010609C">
      <w:pPr>
        <w:spacing w:line="240" w:lineRule="auto"/>
        <w:rPr>
          <w:rFonts w:eastAsia="Times New Roman"/>
          <w:sz w:val="22"/>
          <w:szCs w:val="22"/>
        </w:rPr>
      </w:pPr>
      <w:r w:rsidRPr="0010609C">
        <w:rPr>
          <w:rFonts w:eastAsia="Times New Roman"/>
          <w:sz w:val="22"/>
          <w:szCs w:val="22"/>
        </w:rPr>
        <w:t xml:space="preserve">Any recertification requested by the </w:t>
      </w:r>
      <w:proofErr w:type="gramStart"/>
      <w:r w:rsidRPr="0010609C">
        <w:rPr>
          <w:rFonts w:eastAsia="Times New Roman"/>
          <w:sz w:val="22"/>
          <w:szCs w:val="22"/>
        </w:rPr>
        <w:t>City</w:t>
      </w:r>
      <w:proofErr w:type="gramEnd"/>
      <w:r w:rsidRPr="0010609C">
        <w:rPr>
          <w:rFonts w:eastAsia="Times New Roman"/>
          <w:sz w:val="22"/>
          <w:szCs w:val="22"/>
        </w:rPr>
        <w:t xml:space="preserve"> is at the employee’s expense.</w:t>
      </w:r>
    </w:p>
    <w:p w14:paraId="35EB3151" w14:textId="6F5B36B6" w:rsidR="0010609C" w:rsidRPr="0010609C" w:rsidRDefault="0010609C" w:rsidP="0010609C">
      <w:pPr>
        <w:spacing w:line="240" w:lineRule="auto"/>
        <w:rPr>
          <w:rFonts w:eastAsia="Times New Roman"/>
          <w:sz w:val="22"/>
          <w:szCs w:val="22"/>
        </w:rPr>
      </w:pPr>
      <w:r w:rsidRPr="0010609C">
        <w:rPr>
          <w:rFonts w:eastAsia="Times New Roman"/>
          <w:sz w:val="22"/>
          <w:szCs w:val="22"/>
        </w:rPr>
        <w:t>Employees applying for leave benefits under PFML will work with DEED to provide required recertification documents.</w:t>
      </w:r>
    </w:p>
    <w:p w14:paraId="06ED19A5" w14:textId="467D1457" w:rsidR="0010609C" w:rsidRDefault="0010609C" w:rsidP="0010609C">
      <w:pPr>
        <w:pStyle w:val="Heading2"/>
        <w:spacing w:line="240" w:lineRule="auto"/>
        <w:rPr>
          <w:sz w:val="28"/>
          <w:szCs w:val="24"/>
        </w:rPr>
      </w:pPr>
      <w:r w:rsidRPr="0010609C">
        <w:rPr>
          <w:sz w:val="28"/>
          <w:szCs w:val="24"/>
        </w:rPr>
        <w:t>Renewal</w:t>
      </w:r>
    </w:p>
    <w:p w14:paraId="646CF1E6" w14:textId="3E7CBDEE" w:rsidR="0010609C" w:rsidRDefault="0010609C" w:rsidP="0010609C">
      <w:pPr>
        <w:spacing w:line="240" w:lineRule="auto"/>
        <w:rPr>
          <w:rFonts w:eastAsia="Times New Roman"/>
          <w:sz w:val="22"/>
          <w:szCs w:val="22"/>
        </w:rPr>
      </w:pPr>
      <w:r w:rsidRPr="0010609C">
        <w:rPr>
          <w:rFonts w:eastAsia="Times New Roman"/>
          <w:sz w:val="22"/>
          <w:szCs w:val="22"/>
        </w:rPr>
        <w:t xml:space="preserve">In the event of intermittent leaves that are ongoing for greater than 12 months, the leave will be renewed on an annual basis. Employees are responsible for communicating the ongoing need </w:t>
      </w:r>
      <w:proofErr w:type="gramStart"/>
      <w:r w:rsidRPr="0010609C">
        <w:rPr>
          <w:rFonts w:eastAsia="Times New Roman"/>
          <w:sz w:val="22"/>
          <w:szCs w:val="22"/>
        </w:rPr>
        <w:t>of</w:t>
      </w:r>
      <w:proofErr w:type="gramEnd"/>
      <w:r w:rsidRPr="0010609C">
        <w:rPr>
          <w:rFonts w:eastAsia="Times New Roman"/>
          <w:sz w:val="22"/>
          <w:szCs w:val="22"/>
        </w:rPr>
        <w:t xml:space="preserve"> their leave to the Human Resource Department. Updated FMLA paperwork will be required on the anniversary of an employee’s leave, including an updated certification.   </w:t>
      </w:r>
    </w:p>
    <w:p w14:paraId="57CFCB68" w14:textId="55265764" w:rsidR="0010609C" w:rsidRDefault="0010609C" w:rsidP="008C706F">
      <w:pPr>
        <w:pStyle w:val="Heading2"/>
        <w:spacing w:line="240" w:lineRule="auto"/>
        <w:rPr>
          <w:rFonts w:eastAsia="Times New Roman"/>
          <w:sz w:val="28"/>
          <w:szCs w:val="24"/>
        </w:rPr>
      </w:pPr>
      <w:r w:rsidRPr="0010609C">
        <w:rPr>
          <w:rFonts w:eastAsia="Times New Roman"/>
          <w:sz w:val="28"/>
          <w:szCs w:val="24"/>
        </w:rPr>
        <w:t>Reinstatement</w:t>
      </w:r>
    </w:p>
    <w:p w14:paraId="7907228C" w14:textId="77777777" w:rsidR="0010609C" w:rsidRDefault="0010609C" w:rsidP="008C706F">
      <w:pPr>
        <w:spacing w:line="240" w:lineRule="auto"/>
        <w:rPr>
          <w:rFonts w:eastAsia="Times New Roman"/>
          <w:sz w:val="22"/>
          <w:szCs w:val="22"/>
        </w:rPr>
      </w:pPr>
      <w:r w:rsidRPr="0010609C">
        <w:rPr>
          <w:rFonts w:eastAsia="Times New Roman"/>
          <w:sz w:val="22"/>
          <w:szCs w:val="22"/>
        </w:rPr>
        <w:t xml:space="preserve">Employees returning from FMLA, or from PFML that have worked for the City greater than 90 days, will be reinstated in the same position or a position equivalent in pay, benefits and other terms and conditions of employment. </w:t>
      </w:r>
    </w:p>
    <w:p w14:paraId="60B40FAC" w14:textId="77777777" w:rsidR="0010609C" w:rsidRDefault="0010609C" w:rsidP="008C706F">
      <w:pPr>
        <w:spacing w:line="240" w:lineRule="auto"/>
        <w:rPr>
          <w:rFonts w:eastAsia="Times New Roman"/>
          <w:sz w:val="22"/>
          <w:szCs w:val="22"/>
        </w:rPr>
      </w:pPr>
      <w:r w:rsidRPr="0010609C">
        <w:rPr>
          <w:rFonts w:eastAsia="Times New Roman"/>
          <w:sz w:val="22"/>
          <w:szCs w:val="22"/>
        </w:rPr>
        <w:t xml:space="preserve">An employee’s reinstatement rights are the same as they would have been had the employee not been on leave. Thus, if an employee’s position </w:t>
      </w:r>
      <w:proofErr w:type="gramStart"/>
      <w:r w:rsidRPr="0010609C">
        <w:rPr>
          <w:rFonts w:eastAsia="Times New Roman"/>
          <w:sz w:val="22"/>
          <w:szCs w:val="22"/>
        </w:rPr>
        <w:t>would have</w:t>
      </w:r>
      <w:proofErr w:type="gramEnd"/>
      <w:r w:rsidRPr="0010609C">
        <w:rPr>
          <w:rFonts w:eastAsia="Times New Roman"/>
          <w:sz w:val="22"/>
          <w:szCs w:val="22"/>
        </w:rPr>
        <w:t xml:space="preserve"> been eliminated or an employee </w:t>
      </w:r>
      <w:proofErr w:type="gramStart"/>
      <w:r w:rsidRPr="0010609C">
        <w:rPr>
          <w:rFonts w:eastAsia="Times New Roman"/>
          <w:sz w:val="22"/>
          <w:szCs w:val="22"/>
        </w:rPr>
        <w:t>would have</w:t>
      </w:r>
      <w:proofErr w:type="gramEnd"/>
      <w:r w:rsidRPr="0010609C">
        <w:rPr>
          <w:rFonts w:eastAsia="Times New Roman"/>
          <w:sz w:val="22"/>
          <w:szCs w:val="22"/>
        </w:rPr>
        <w:t xml:space="preserve"> been terminated but for the leave, the employee would not have the right to be reinstated upon return from the leave. </w:t>
      </w:r>
    </w:p>
    <w:p w14:paraId="0BD64C19" w14:textId="27C23691" w:rsidR="0010609C" w:rsidRDefault="0010609C" w:rsidP="008C706F">
      <w:pPr>
        <w:spacing w:line="240" w:lineRule="auto"/>
        <w:rPr>
          <w:rFonts w:eastAsia="Times New Roman"/>
          <w:sz w:val="22"/>
          <w:szCs w:val="22"/>
        </w:rPr>
      </w:pPr>
      <w:r w:rsidRPr="0010609C">
        <w:rPr>
          <w:rFonts w:eastAsia="Times New Roman"/>
          <w:sz w:val="22"/>
          <w:szCs w:val="22"/>
        </w:rPr>
        <w:t xml:space="preserve">Employees approved for a leave under PFML but working for the </w:t>
      </w:r>
      <w:proofErr w:type="gramStart"/>
      <w:r w:rsidRPr="0010609C">
        <w:rPr>
          <w:rFonts w:eastAsia="Times New Roman"/>
          <w:sz w:val="22"/>
          <w:szCs w:val="22"/>
        </w:rPr>
        <w:t>City</w:t>
      </w:r>
      <w:proofErr w:type="gramEnd"/>
      <w:r w:rsidRPr="0010609C">
        <w:rPr>
          <w:rFonts w:eastAsia="Times New Roman"/>
          <w:sz w:val="22"/>
          <w:szCs w:val="22"/>
        </w:rPr>
        <w:t xml:space="preserve"> less than 90 days may be reinstated to their previous position if it is not deemed an undue hardship for the </w:t>
      </w:r>
      <w:proofErr w:type="gramStart"/>
      <w:r w:rsidRPr="0010609C">
        <w:rPr>
          <w:rFonts w:eastAsia="Times New Roman"/>
          <w:sz w:val="22"/>
          <w:szCs w:val="22"/>
        </w:rPr>
        <w:t>City</w:t>
      </w:r>
      <w:proofErr w:type="gramEnd"/>
      <w:r w:rsidRPr="0010609C">
        <w:rPr>
          <w:rFonts w:eastAsia="Times New Roman"/>
          <w:sz w:val="22"/>
          <w:szCs w:val="22"/>
        </w:rPr>
        <w:t>.</w:t>
      </w:r>
    </w:p>
    <w:p w14:paraId="4331535B" w14:textId="56DA877C" w:rsidR="0010609C" w:rsidRPr="0010609C" w:rsidRDefault="0010609C" w:rsidP="008C706F">
      <w:pPr>
        <w:pStyle w:val="Heading2"/>
        <w:spacing w:line="240" w:lineRule="auto"/>
        <w:rPr>
          <w:rFonts w:eastAsia="Times New Roman"/>
          <w:sz w:val="28"/>
          <w:szCs w:val="24"/>
        </w:rPr>
      </w:pPr>
      <w:r w:rsidRPr="0010609C">
        <w:rPr>
          <w:rFonts w:eastAsia="Times New Roman"/>
          <w:sz w:val="28"/>
          <w:szCs w:val="24"/>
        </w:rPr>
        <w:lastRenderedPageBreak/>
        <w:t>Notice of Intent to Return from Leave</w:t>
      </w:r>
    </w:p>
    <w:p w14:paraId="60E7A2BB" w14:textId="77777777" w:rsidR="0010609C" w:rsidRDefault="0010609C" w:rsidP="008C706F">
      <w:pPr>
        <w:spacing w:line="240" w:lineRule="auto"/>
        <w:rPr>
          <w:rFonts w:eastAsia="Times New Roman"/>
          <w:sz w:val="22"/>
          <w:szCs w:val="22"/>
        </w:rPr>
      </w:pPr>
      <w:r w:rsidRPr="0010609C">
        <w:rPr>
          <w:rFonts w:eastAsia="Times New Roman"/>
          <w:sz w:val="22"/>
          <w:szCs w:val="22"/>
        </w:rPr>
        <w:t xml:space="preserve">Employees on leave under FMLA and PFML are required to report their anticipated return to the Human Resource department prior to their return. If a medical release is required to return, this must be submitted to Human Resources prior to a return to work. An employee shall work with their supervisor for return-to-work instructions such as work hours and job assignment. </w:t>
      </w:r>
    </w:p>
    <w:p w14:paraId="3296BDA0" w14:textId="49233CA5" w:rsidR="0010609C" w:rsidRPr="0010609C" w:rsidRDefault="0010609C" w:rsidP="008C706F">
      <w:pPr>
        <w:pStyle w:val="Heading2"/>
        <w:spacing w:line="240" w:lineRule="auto"/>
        <w:rPr>
          <w:rFonts w:eastAsia="Times New Roman"/>
          <w:sz w:val="28"/>
          <w:szCs w:val="24"/>
        </w:rPr>
      </w:pPr>
      <w:r w:rsidRPr="0010609C">
        <w:rPr>
          <w:rFonts w:eastAsia="Times New Roman"/>
          <w:sz w:val="28"/>
          <w:szCs w:val="24"/>
        </w:rPr>
        <w:t>Activities Prohibited During FMLA</w:t>
      </w:r>
    </w:p>
    <w:p w14:paraId="3CDF26E9" w14:textId="77777777" w:rsidR="0010609C" w:rsidRDefault="0010609C" w:rsidP="008C706F">
      <w:pPr>
        <w:spacing w:line="240" w:lineRule="auto"/>
        <w:rPr>
          <w:rFonts w:eastAsia="Times New Roman"/>
          <w:sz w:val="22"/>
          <w:szCs w:val="22"/>
        </w:rPr>
      </w:pPr>
      <w:r w:rsidRPr="0010609C">
        <w:rPr>
          <w:rFonts w:eastAsia="Times New Roman"/>
          <w:sz w:val="22"/>
          <w:szCs w:val="22"/>
        </w:rPr>
        <w:t xml:space="preserve">While on leave for an employee’s own medical condition, where the employee is deemed incapacitated by a medical provider, the employee must not perform any work duties, including the use of City equipment or technology for purposes of performing their work duties. </w:t>
      </w:r>
    </w:p>
    <w:p w14:paraId="7AAF0093" w14:textId="5FF7B4C7" w:rsidR="0010609C" w:rsidRPr="0010609C" w:rsidRDefault="0010609C" w:rsidP="008C706F">
      <w:pPr>
        <w:spacing w:line="240" w:lineRule="auto"/>
        <w:rPr>
          <w:rFonts w:eastAsia="Times New Roman"/>
          <w:sz w:val="22"/>
          <w:szCs w:val="22"/>
        </w:rPr>
      </w:pPr>
      <w:r w:rsidRPr="0010609C">
        <w:rPr>
          <w:rFonts w:eastAsia="Times New Roman"/>
          <w:sz w:val="22"/>
          <w:szCs w:val="22"/>
        </w:rPr>
        <w:t xml:space="preserve">While on leave, an employee may not engage in any activity that conflicts with restrictions outlined in their medical documentation. Such conduct will result in disciplinary action up to and including termination of employment. </w:t>
      </w:r>
    </w:p>
    <w:p w14:paraId="2AB6345C" w14:textId="01643D98" w:rsidR="0010609C" w:rsidRDefault="008C706F" w:rsidP="008C706F">
      <w:pPr>
        <w:pStyle w:val="Heading2"/>
        <w:spacing w:line="240" w:lineRule="auto"/>
        <w:rPr>
          <w:sz w:val="28"/>
          <w:szCs w:val="24"/>
        </w:rPr>
      </w:pPr>
      <w:r w:rsidRPr="008C706F">
        <w:rPr>
          <w:sz w:val="28"/>
          <w:szCs w:val="24"/>
        </w:rPr>
        <w:t>Additional Leave</w:t>
      </w:r>
    </w:p>
    <w:p w14:paraId="17F2D0E3" w14:textId="77777777" w:rsidR="008C706F" w:rsidRDefault="008C706F" w:rsidP="008C706F">
      <w:pPr>
        <w:spacing w:line="240" w:lineRule="auto"/>
        <w:rPr>
          <w:rFonts w:eastAsia="Times New Roman"/>
          <w:sz w:val="22"/>
          <w:szCs w:val="22"/>
        </w:rPr>
      </w:pPr>
      <w:r w:rsidRPr="008C706F">
        <w:rPr>
          <w:rFonts w:eastAsia="Times New Roman"/>
          <w:sz w:val="22"/>
          <w:szCs w:val="22"/>
        </w:rPr>
        <w:t xml:space="preserve">In the event an employee is unable to return to work for their own serious health condition, and after the exhaustion of their FMLA and/or PFML leave entitlement, the City will engage in the interactive Americans with Disabilities Act (ADA) process to determine potential accommodation(s). </w:t>
      </w:r>
    </w:p>
    <w:p w14:paraId="50AE75FA" w14:textId="5944640A" w:rsidR="008C706F" w:rsidRDefault="008C706F" w:rsidP="008C706F">
      <w:pPr>
        <w:spacing w:line="240" w:lineRule="auto"/>
        <w:rPr>
          <w:rFonts w:eastAsia="Times New Roman"/>
          <w:sz w:val="22"/>
          <w:szCs w:val="22"/>
        </w:rPr>
      </w:pPr>
      <w:r w:rsidRPr="008C706F">
        <w:rPr>
          <w:rFonts w:eastAsia="Times New Roman"/>
          <w:sz w:val="22"/>
          <w:szCs w:val="22"/>
        </w:rPr>
        <w:t xml:space="preserve">In the event an employee is unable to return to work for reasons other than their own serious health condition, and after the exhaustion of their FMLA and/or PFML leave entitlement, leave extension requests must be made prior to the exhaustion of leave entitlement and must be approved by their supervisor, department head and human resources director or designee. </w:t>
      </w:r>
    </w:p>
    <w:p w14:paraId="40821318" w14:textId="51C3F6A8" w:rsidR="008C706F" w:rsidRDefault="008C706F" w:rsidP="008C706F">
      <w:pPr>
        <w:pStyle w:val="Heading1"/>
        <w:spacing w:line="240" w:lineRule="auto"/>
        <w:rPr>
          <w:rFonts w:eastAsia="Times New Roman"/>
          <w:sz w:val="36"/>
          <w:szCs w:val="32"/>
        </w:rPr>
      </w:pPr>
      <w:r w:rsidRPr="008C706F">
        <w:rPr>
          <w:rFonts w:eastAsia="Times New Roman"/>
          <w:sz w:val="36"/>
          <w:szCs w:val="32"/>
        </w:rPr>
        <w:t>Use of Accrued Leave Time</w:t>
      </w:r>
    </w:p>
    <w:p w14:paraId="57EEAF53" w14:textId="77777777" w:rsidR="008C706F" w:rsidRDefault="008C706F" w:rsidP="008C706F">
      <w:pPr>
        <w:spacing w:line="240" w:lineRule="auto"/>
        <w:rPr>
          <w:sz w:val="22"/>
          <w:szCs w:val="22"/>
        </w:rPr>
      </w:pPr>
      <w:r w:rsidRPr="008C706F">
        <w:rPr>
          <w:sz w:val="22"/>
          <w:szCs w:val="22"/>
        </w:rPr>
        <w:t xml:space="preserve">Employees covered under FMLA will be required to exhaust all eligible accrued leave time prior to entering an unpaid status unless the employee has applied for PFML. </w:t>
      </w:r>
    </w:p>
    <w:p w14:paraId="79A7D9C6" w14:textId="77777777" w:rsidR="008C706F" w:rsidRDefault="008C706F" w:rsidP="008C706F">
      <w:pPr>
        <w:spacing w:line="240" w:lineRule="auto"/>
        <w:rPr>
          <w:sz w:val="22"/>
          <w:szCs w:val="22"/>
        </w:rPr>
      </w:pPr>
      <w:r w:rsidRPr="008C706F">
        <w:rPr>
          <w:sz w:val="22"/>
          <w:szCs w:val="22"/>
        </w:rPr>
        <w:t xml:space="preserve">An employee who has applied for or is receiving wage replacement benefits through PFML is not eligible to use accrued leave time (vacation, sick, PTO, compensatory time, flexible leave time, etc.) to supplement the weekly benefit amount received under this program. This includes during the PFML benefit determination period. Income replacement through PFML is not considered wages for purposes of holiday time or accruing of leave time with the </w:t>
      </w:r>
      <w:proofErr w:type="gramStart"/>
      <w:r w:rsidRPr="008C706F">
        <w:rPr>
          <w:sz w:val="22"/>
          <w:szCs w:val="22"/>
        </w:rPr>
        <w:t>City</w:t>
      </w:r>
      <w:proofErr w:type="gramEnd"/>
      <w:r w:rsidRPr="008C706F">
        <w:rPr>
          <w:sz w:val="22"/>
          <w:szCs w:val="22"/>
        </w:rPr>
        <w:t>.</w:t>
      </w:r>
    </w:p>
    <w:p w14:paraId="4D6D3699" w14:textId="77777777" w:rsidR="008C706F" w:rsidRDefault="008C706F" w:rsidP="008C706F">
      <w:pPr>
        <w:spacing w:line="240" w:lineRule="auto"/>
        <w:rPr>
          <w:sz w:val="22"/>
          <w:szCs w:val="22"/>
        </w:rPr>
      </w:pPr>
      <w:r w:rsidRPr="008C706F">
        <w:rPr>
          <w:sz w:val="22"/>
          <w:szCs w:val="22"/>
        </w:rPr>
        <w:t xml:space="preserve">If an employee applies for PFML benefits and does not receive wage benefits for time on leave or is determined ineligible for the program, the employee will be required to exhaust all eligible accrued leave time prior to entering an unpaid status. </w:t>
      </w:r>
    </w:p>
    <w:p w14:paraId="30B1C323" w14:textId="77777777" w:rsidR="008C706F" w:rsidRDefault="008C706F" w:rsidP="008C706F">
      <w:pPr>
        <w:spacing w:line="240" w:lineRule="auto"/>
        <w:rPr>
          <w:sz w:val="22"/>
          <w:szCs w:val="22"/>
        </w:rPr>
      </w:pPr>
      <w:r w:rsidRPr="008C706F">
        <w:rPr>
          <w:sz w:val="22"/>
          <w:szCs w:val="22"/>
        </w:rPr>
        <w:t xml:space="preserve">An employee may request to use their own available and applicable paid leave in lieu of MN PFML benefits. This replacement of PFML benefits with accrued leave time will reduce the amount of PFML benefits available to an employee. An employee’s accrued paid leave used for replacement during their PFML eligible leave will not be retroactively restored to their balances if they choose to apply for PFML </w:t>
      </w:r>
      <w:proofErr w:type="gramStart"/>
      <w:r w:rsidRPr="008C706F">
        <w:rPr>
          <w:sz w:val="22"/>
          <w:szCs w:val="22"/>
        </w:rPr>
        <w:t>at a later date</w:t>
      </w:r>
      <w:proofErr w:type="gramEnd"/>
      <w:r w:rsidRPr="008C706F">
        <w:rPr>
          <w:sz w:val="22"/>
          <w:szCs w:val="22"/>
        </w:rPr>
        <w:t>. This may result in the employee being required to repay any overpayments back to the State of MN.</w:t>
      </w:r>
    </w:p>
    <w:p w14:paraId="459DC88C" w14:textId="77777777" w:rsidR="008C706F" w:rsidRDefault="008C706F" w:rsidP="008C706F">
      <w:pPr>
        <w:spacing w:line="240" w:lineRule="auto"/>
        <w:rPr>
          <w:sz w:val="22"/>
          <w:szCs w:val="22"/>
        </w:rPr>
      </w:pPr>
      <w:r w:rsidRPr="008C706F">
        <w:rPr>
          <w:sz w:val="22"/>
          <w:szCs w:val="22"/>
        </w:rPr>
        <w:t>An employee who receives disability insurance benefits may also receive PFML benefits concurrently, but disability insurance benefits will be offset by PFML benefits that are eligible to be paid or paid to the employee pursuant to the City’s disability insurance policy.</w:t>
      </w:r>
    </w:p>
    <w:p w14:paraId="2667F0CD" w14:textId="136C87AE" w:rsidR="008C706F" w:rsidRDefault="008C706F" w:rsidP="008C706F">
      <w:pPr>
        <w:spacing w:line="240" w:lineRule="auto"/>
        <w:rPr>
          <w:sz w:val="22"/>
          <w:szCs w:val="22"/>
        </w:rPr>
      </w:pPr>
      <w:r w:rsidRPr="008C706F">
        <w:rPr>
          <w:sz w:val="22"/>
          <w:szCs w:val="22"/>
        </w:rPr>
        <w:t xml:space="preserve">An employee who is currently receiving social security disability benefits is generally ineligible to receive PFML benefits. </w:t>
      </w:r>
    </w:p>
    <w:p w14:paraId="2B24CA3F" w14:textId="19E7F9C4" w:rsidR="008C706F" w:rsidRPr="008C706F" w:rsidRDefault="008C706F" w:rsidP="008C706F">
      <w:pPr>
        <w:pStyle w:val="Heading1"/>
        <w:rPr>
          <w:sz w:val="36"/>
          <w:szCs w:val="32"/>
        </w:rPr>
      </w:pPr>
      <w:r w:rsidRPr="008C706F">
        <w:rPr>
          <w:sz w:val="36"/>
          <w:szCs w:val="32"/>
        </w:rPr>
        <w:lastRenderedPageBreak/>
        <w:t>PFML Premium Costs</w:t>
      </w:r>
    </w:p>
    <w:p w14:paraId="6D98FEC5" w14:textId="4F8FCFAF" w:rsidR="008C706F" w:rsidRPr="008C706F" w:rsidRDefault="008C706F" w:rsidP="008C706F">
      <w:pPr>
        <w:spacing w:line="240" w:lineRule="auto"/>
        <w:rPr>
          <w:sz w:val="22"/>
          <w:szCs w:val="22"/>
        </w:rPr>
      </w:pPr>
      <w:r w:rsidRPr="008C706F">
        <w:rPr>
          <w:sz w:val="22"/>
          <w:szCs w:val="22"/>
        </w:rPr>
        <w:t xml:space="preserve">Pursuant to Minnesota Statute § 268B.14, the </w:t>
      </w:r>
      <w:proofErr w:type="gramStart"/>
      <w:r w:rsidRPr="008C706F">
        <w:rPr>
          <w:sz w:val="22"/>
          <w:szCs w:val="22"/>
        </w:rPr>
        <w:t>City</w:t>
      </w:r>
      <w:proofErr w:type="gramEnd"/>
      <w:r w:rsidRPr="008C706F">
        <w:rPr>
          <w:sz w:val="22"/>
          <w:szCs w:val="22"/>
        </w:rPr>
        <w:t xml:space="preserve"> will pay premiums related to PFML quarterly, at the defined premium rate set forth by DEED. The premium cost will be split 50/50 between the </w:t>
      </w:r>
      <w:proofErr w:type="gramStart"/>
      <w:r w:rsidRPr="008C706F">
        <w:rPr>
          <w:sz w:val="22"/>
          <w:szCs w:val="22"/>
        </w:rPr>
        <w:t>City</w:t>
      </w:r>
      <w:proofErr w:type="gramEnd"/>
      <w:r w:rsidRPr="008C706F">
        <w:rPr>
          <w:sz w:val="22"/>
          <w:szCs w:val="22"/>
        </w:rPr>
        <w:t xml:space="preserve"> and employee with the employee share payable through payroll deductions. </w:t>
      </w:r>
    </w:p>
    <w:p w14:paraId="27E9F208" w14:textId="6076FB33" w:rsidR="008C706F" w:rsidRDefault="008C706F" w:rsidP="008C706F">
      <w:pPr>
        <w:pStyle w:val="Heading1"/>
        <w:rPr>
          <w:sz w:val="36"/>
          <w:szCs w:val="32"/>
        </w:rPr>
      </w:pPr>
      <w:r w:rsidRPr="008C706F">
        <w:rPr>
          <w:sz w:val="36"/>
          <w:szCs w:val="32"/>
        </w:rPr>
        <w:t>PFML Payment</w:t>
      </w:r>
    </w:p>
    <w:p w14:paraId="56D31F3E" w14:textId="77777777" w:rsidR="008C706F" w:rsidRDefault="008C706F" w:rsidP="008C706F">
      <w:pPr>
        <w:spacing w:line="240" w:lineRule="auto"/>
        <w:rPr>
          <w:sz w:val="22"/>
          <w:szCs w:val="22"/>
        </w:rPr>
      </w:pPr>
      <w:r w:rsidRPr="008C706F">
        <w:rPr>
          <w:sz w:val="22"/>
          <w:szCs w:val="22"/>
        </w:rPr>
        <w:t xml:space="preserve">PFML benefits are calculated and paid by DEED based on the formula outlined in MN Statute, up to a maximum of the State Average Weekly Wage (SAWW). PFML payments are taxable and when an individual applies for PFML benefits, they will have the option to withhold state and federal taxes from their weekly benefit. DEED will report benefit amounts to the IRS annually and issue a 1099 to a person taking leave. </w:t>
      </w:r>
    </w:p>
    <w:p w14:paraId="6F8F3BF2" w14:textId="2C807346" w:rsidR="008C706F" w:rsidRPr="008C706F" w:rsidRDefault="008C706F" w:rsidP="008C706F">
      <w:pPr>
        <w:spacing w:line="240" w:lineRule="auto"/>
        <w:rPr>
          <w:sz w:val="22"/>
          <w:szCs w:val="22"/>
        </w:rPr>
      </w:pPr>
      <w:r w:rsidRPr="008C706F">
        <w:rPr>
          <w:sz w:val="22"/>
          <w:szCs w:val="22"/>
        </w:rPr>
        <w:t>Medical and family benefits are taxed differently for federal tax purposes and may be subject to additional taxes, based on IRS guidelines.</w:t>
      </w:r>
    </w:p>
    <w:p w14:paraId="59BD839A" w14:textId="2FC3898D" w:rsidR="008C706F" w:rsidRDefault="008C706F" w:rsidP="008C706F">
      <w:pPr>
        <w:pStyle w:val="Heading1"/>
        <w:spacing w:line="240" w:lineRule="auto"/>
        <w:rPr>
          <w:sz w:val="36"/>
          <w:szCs w:val="32"/>
        </w:rPr>
      </w:pPr>
      <w:r w:rsidRPr="008C706F">
        <w:rPr>
          <w:sz w:val="36"/>
          <w:szCs w:val="32"/>
        </w:rPr>
        <w:t>Benefits</w:t>
      </w:r>
    </w:p>
    <w:p w14:paraId="6A6CBFD4" w14:textId="77777777" w:rsidR="008C706F" w:rsidRDefault="008C706F" w:rsidP="008C706F">
      <w:pPr>
        <w:spacing w:line="240" w:lineRule="auto"/>
        <w:rPr>
          <w:sz w:val="22"/>
          <w:szCs w:val="22"/>
        </w:rPr>
      </w:pPr>
      <w:r w:rsidRPr="008C706F">
        <w:rPr>
          <w:sz w:val="22"/>
          <w:szCs w:val="22"/>
        </w:rPr>
        <w:t>An employee on an approved FMLA and/or PFML leave is responsible for timely payment of the employee’s portion of premiums or contributions to continue their insurance coverages, including but not limited to medical, dental, vision, life, disability and flexible spending. It is the employee’s responsibility to contact the Human Resources department to arrange a payment schedule. Failure to arrange a repayment schedule or pay the employee portion of benefit premiums while on leave may result in coverage ending. Loss of coverage for failure to pay premiums is not a qualifying event for purposes of continuation coverage under the Consolidated Omnibus Budget Reconciliation Act (COBRA).</w:t>
      </w:r>
    </w:p>
    <w:p w14:paraId="7A8229B7" w14:textId="77777777" w:rsidR="008C706F" w:rsidRDefault="008C706F" w:rsidP="008C706F">
      <w:pPr>
        <w:spacing w:line="240" w:lineRule="auto"/>
        <w:rPr>
          <w:sz w:val="22"/>
          <w:szCs w:val="22"/>
        </w:rPr>
      </w:pPr>
      <w:r w:rsidRPr="008C706F">
        <w:rPr>
          <w:sz w:val="22"/>
          <w:szCs w:val="22"/>
        </w:rPr>
        <w:t xml:space="preserve">When an employee who has not yet been employed with the City for at least 90 days is approved for a leave under PFML, and the leave extends beyond the month-end date, the City will discontinue benefit premium contributions for medical, dental and City-provided life insurance effective the end of the calendar month in which the leave began. Benefit continuation paperwork will be issued pursuant to COBRA and Minnesota continuation rights. These benefits will be reinstated on the first of the month following when the employee returns from leave as provided in the City’s summary plan documents; however, no refunds for COBRA premium contributions will be made. </w:t>
      </w:r>
    </w:p>
    <w:p w14:paraId="5099836F" w14:textId="77777777" w:rsidR="008C706F" w:rsidRDefault="008C706F" w:rsidP="008C706F">
      <w:pPr>
        <w:spacing w:line="240" w:lineRule="auto"/>
        <w:rPr>
          <w:sz w:val="22"/>
          <w:szCs w:val="22"/>
        </w:rPr>
      </w:pPr>
      <w:r w:rsidRPr="008C706F">
        <w:rPr>
          <w:sz w:val="22"/>
          <w:szCs w:val="22"/>
        </w:rPr>
        <w:t>When an employee who has worked for the City for more than 90 days, and fails to return to work following the exhaustion of their FMLA or PFML leave entitlement, and is in an unpaid status, the City will discontinue benefit premium contributions for medical, dental and City-provided life insurance effective the end of the calendar month in which the leave entitlement exhausted. Benefit continuation paperwork will be issued pursuant to COBRA and Minnesota continuation rights. These benefits will be reinstated on the first of the month following when the employee returns from leave as provided in the City’s summary plan documents; however, no refunds for COBRA premium contributions will be made.</w:t>
      </w:r>
    </w:p>
    <w:p w14:paraId="30FF8BBD" w14:textId="77777777" w:rsidR="008C706F" w:rsidRDefault="008C706F" w:rsidP="008C706F">
      <w:pPr>
        <w:spacing w:line="240" w:lineRule="auto"/>
        <w:rPr>
          <w:sz w:val="22"/>
          <w:szCs w:val="22"/>
        </w:rPr>
      </w:pPr>
      <w:r w:rsidRPr="008C706F">
        <w:rPr>
          <w:rFonts w:eastAsia="Times New Roman"/>
          <w:sz w:val="22"/>
          <w:szCs w:val="22"/>
        </w:rPr>
        <w:t xml:space="preserve">If an employee returns to work for less than 30 days following the exhaustion of their leave entitlement, the City may require the employee to repay the portion of the monthly cost paid by the City for group insurance benefits. </w:t>
      </w:r>
    </w:p>
    <w:p w14:paraId="51BACA30" w14:textId="2FBAEC14" w:rsidR="008C706F" w:rsidRDefault="008C706F" w:rsidP="008C706F">
      <w:pPr>
        <w:spacing w:line="240" w:lineRule="auto"/>
        <w:rPr>
          <w:sz w:val="22"/>
          <w:szCs w:val="22"/>
        </w:rPr>
      </w:pPr>
      <w:r w:rsidRPr="008C706F">
        <w:rPr>
          <w:sz w:val="22"/>
          <w:szCs w:val="22"/>
        </w:rPr>
        <w:t xml:space="preserve">PFML benefits paid to an employee and unpaid FMLA leave are not considered eligible salary for PERA contributions or service credit. An employee may have the option to purchase back salary and service credits lost during a period of authorized PFML or unpaid FMLA through PERA. </w:t>
      </w:r>
    </w:p>
    <w:p w14:paraId="6D58D9BD" w14:textId="13E4A1D4" w:rsidR="008C706F" w:rsidRPr="008C706F" w:rsidRDefault="008C706F" w:rsidP="008C706F">
      <w:pPr>
        <w:pStyle w:val="Heading1"/>
        <w:spacing w:line="240" w:lineRule="auto"/>
        <w:rPr>
          <w:sz w:val="36"/>
          <w:szCs w:val="32"/>
        </w:rPr>
      </w:pPr>
      <w:r w:rsidRPr="008C706F">
        <w:rPr>
          <w:sz w:val="36"/>
          <w:szCs w:val="32"/>
        </w:rPr>
        <w:lastRenderedPageBreak/>
        <w:t>Complaint Procedure</w:t>
      </w:r>
    </w:p>
    <w:p w14:paraId="4F4C88E8" w14:textId="77777777" w:rsidR="008C706F" w:rsidRDefault="008C706F" w:rsidP="008C706F">
      <w:pPr>
        <w:spacing w:line="240" w:lineRule="auto"/>
        <w:rPr>
          <w:rFonts w:eastAsia="Times New Roman"/>
          <w:sz w:val="22"/>
          <w:szCs w:val="22"/>
        </w:rPr>
      </w:pPr>
      <w:r w:rsidRPr="008C706F">
        <w:rPr>
          <w:rFonts w:eastAsia="Times New Roman"/>
          <w:sz w:val="22"/>
          <w:szCs w:val="22"/>
        </w:rPr>
        <w:t xml:space="preserve">The City will not discharge, discipline, penalize, interfere with, threaten, restrain, coerce or otherwise retaliate or discriminate against an employee for requesting or obtaining benefits or leave, or for exercising any other right under this chapter. </w:t>
      </w:r>
    </w:p>
    <w:p w14:paraId="13EAC7C8" w14:textId="462CFF87" w:rsidR="008C706F" w:rsidRPr="008C706F" w:rsidRDefault="008C706F" w:rsidP="008C706F">
      <w:pPr>
        <w:spacing w:line="240" w:lineRule="auto"/>
        <w:rPr>
          <w:rFonts w:eastAsia="Times New Roman"/>
          <w:sz w:val="22"/>
          <w:szCs w:val="22"/>
        </w:rPr>
      </w:pPr>
      <w:r w:rsidRPr="008C706F">
        <w:rPr>
          <w:rFonts w:eastAsia="Times New Roman"/>
          <w:sz w:val="22"/>
          <w:szCs w:val="22"/>
        </w:rPr>
        <w:t xml:space="preserve">Questions, concerns or disputes regarding this policy should be directed </w:t>
      </w:r>
      <w:proofErr w:type="gramStart"/>
      <w:r w:rsidRPr="008C706F">
        <w:rPr>
          <w:rFonts w:eastAsia="Times New Roman"/>
          <w:sz w:val="22"/>
          <w:szCs w:val="22"/>
        </w:rPr>
        <w:t>to</w:t>
      </w:r>
      <w:proofErr w:type="gramEnd"/>
      <w:r w:rsidRPr="008C706F">
        <w:rPr>
          <w:rFonts w:eastAsia="Times New Roman"/>
          <w:sz w:val="22"/>
          <w:szCs w:val="22"/>
        </w:rPr>
        <w:t xml:space="preserve"> the Human Resources Department. Questions, concerns or disputes regarding the administration of PFML should be directed </w:t>
      </w:r>
      <w:proofErr w:type="gramStart"/>
      <w:r w:rsidRPr="008C706F">
        <w:rPr>
          <w:rFonts w:eastAsia="Times New Roman"/>
          <w:sz w:val="22"/>
          <w:szCs w:val="22"/>
        </w:rPr>
        <w:t>to</w:t>
      </w:r>
      <w:proofErr w:type="gramEnd"/>
      <w:r w:rsidRPr="008C706F">
        <w:rPr>
          <w:rFonts w:eastAsia="Times New Roman"/>
          <w:sz w:val="22"/>
          <w:szCs w:val="22"/>
        </w:rPr>
        <w:t xml:space="preserve"> DEED.</w:t>
      </w:r>
    </w:p>
    <w:p w14:paraId="7D1D824C" w14:textId="002DF4EA" w:rsidR="00EC74B9" w:rsidRPr="007A0EA6" w:rsidRDefault="00EC74B9" w:rsidP="0010609C">
      <w:pPr>
        <w:pStyle w:val="Heading1"/>
        <w:spacing w:line="240" w:lineRule="auto"/>
        <w:rPr>
          <w:sz w:val="36"/>
          <w:szCs w:val="36"/>
        </w:rPr>
      </w:pPr>
      <w:r w:rsidRPr="007A0EA6">
        <w:rPr>
          <w:sz w:val="36"/>
          <w:szCs w:val="36"/>
        </w:rPr>
        <w:t>Associated Forms</w:t>
      </w:r>
    </w:p>
    <w:p w14:paraId="39486CEB" w14:textId="56BFF3F1" w:rsidR="00EC74B9" w:rsidRPr="00EC74B9" w:rsidRDefault="00EC74B9" w:rsidP="0010609C">
      <w:pPr>
        <w:spacing w:line="240" w:lineRule="auto"/>
      </w:pPr>
      <w:r>
        <w:t xml:space="preserve">All forms associated with this policy can be found on Rochester@Work. </w:t>
      </w:r>
    </w:p>
    <w:p w14:paraId="5AE8E9B6" w14:textId="31ABCA77" w:rsidR="00EC74B9" w:rsidRDefault="008C706F" w:rsidP="0010609C">
      <w:pPr>
        <w:pStyle w:val="ListParagraph"/>
        <w:numPr>
          <w:ilvl w:val="0"/>
          <w:numId w:val="11"/>
        </w:numPr>
        <w:spacing w:line="240" w:lineRule="auto"/>
      </w:pPr>
      <w:r>
        <w:t>Request for Leave of Absence</w:t>
      </w:r>
    </w:p>
    <w:p w14:paraId="600E3B1C" w14:textId="3EB9E7CC" w:rsidR="00EC74B9" w:rsidRPr="007A0EA6" w:rsidRDefault="00EC74B9" w:rsidP="0010609C">
      <w:pPr>
        <w:pStyle w:val="Heading1"/>
        <w:spacing w:line="240" w:lineRule="auto"/>
        <w:rPr>
          <w:sz w:val="36"/>
          <w:szCs w:val="36"/>
        </w:rPr>
      </w:pPr>
      <w:r w:rsidRPr="007A0EA6">
        <w:rPr>
          <w:sz w:val="36"/>
          <w:szCs w:val="36"/>
        </w:rPr>
        <w:t xml:space="preserve">Legal &amp; Statutory Authority </w:t>
      </w:r>
    </w:p>
    <w:p w14:paraId="0C3BF393" w14:textId="77777777" w:rsidR="008C706F" w:rsidRDefault="008C706F" w:rsidP="008C706F">
      <w:pPr>
        <w:pStyle w:val="ListParagraph"/>
        <w:numPr>
          <w:ilvl w:val="0"/>
          <w:numId w:val="19"/>
        </w:numPr>
        <w:spacing w:after="0" w:line="240" w:lineRule="auto"/>
        <w:jc w:val="both"/>
      </w:pPr>
      <w:r>
        <w:t xml:space="preserve">Minnesota Statute </w:t>
      </w:r>
      <w:r w:rsidRPr="00E17797">
        <w:rPr>
          <w:sz w:val="22"/>
        </w:rPr>
        <w:t>§</w:t>
      </w:r>
      <w:r>
        <w:rPr>
          <w:sz w:val="22"/>
        </w:rPr>
        <w:t xml:space="preserve"> </w:t>
      </w:r>
      <w:r>
        <w:t>Chapter 268B</w:t>
      </w:r>
    </w:p>
    <w:p w14:paraId="72FBF630" w14:textId="77777777" w:rsidR="008C706F" w:rsidRDefault="008C706F" w:rsidP="008C706F">
      <w:pPr>
        <w:pStyle w:val="ListParagraph"/>
        <w:numPr>
          <w:ilvl w:val="0"/>
          <w:numId w:val="19"/>
        </w:numPr>
        <w:spacing w:after="0" w:line="240" w:lineRule="auto"/>
        <w:jc w:val="both"/>
      </w:pPr>
      <w:r>
        <w:t>Family and Medical Leave Act (FMLA)</w:t>
      </w:r>
    </w:p>
    <w:p w14:paraId="47207A96" w14:textId="77777777" w:rsidR="008C706F" w:rsidRDefault="008C706F" w:rsidP="008C706F">
      <w:pPr>
        <w:pStyle w:val="ListParagraph"/>
        <w:numPr>
          <w:ilvl w:val="0"/>
          <w:numId w:val="19"/>
        </w:numPr>
        <w:spacing w:after="0" w:line="240" w:lineRule="auto"/>
        <w:jc w:val="both"/>
        <w:rPr>
          <w:rFonts w:eastAsia="Times New Roman"/>
        </w:rPr>
      </w:pPr>
      <w:r w:rsidRPr="09611938">
        <w:rPr>
          <w:rFonts w:eastAsia="Times New Roman"/>
        </w:rPr>
        <w:t xml:space="preserve">MN Statute </w:t>
      </w:r>
      <w:r w:rsidRPr="09611938">
        <w:rPr>
          <w:sz w:val="22"/>
          <w:szCs w:val="22"/>
        </w:rPr>
        <w:t>§</w:t>
      </w:r>
      <w:r w:rsidRPr="09611938">
        <w:rPr>
          <w:rFonts w:eastAsia="Times New Roman"/>
        </w:rPr>
        <w:t xml:space="preserve"> 181.941</w:t>
      </w:r>
    </w:p>
    <w:p w14:paraId="320AC9D9" w14:textId="1D73B341" w:rsidR="00EC74B9" w:rsidRPr="007A0EA6" w:rsidRDefault="00EC74B9" w:rsidP="0010609C">
      <w:pPr>
        <w:pStyle w:val="Heading1"/>
        <w:spacing w:line="240" w:lineRule="auto"/>
        <w:rPr>
          <w:sz w:val="36"/>
          <w:szCs w:val="32"/>
        </w:rPr>
      </w:pPr>
      <w:r w:rsidRPr="007A0EA6">
        <w:rPr>
          <w:sz w:val="36"/>
          <w:szCs w:val="32"/>
        </w:rPr>
        <w:t>Approval &amp; Policy Revisions</w:t>
      </w:r>
    </w:p>
    <w:p w14:paraId="5B552564" w14:textId="3E034044" w:rsidR="00EC74B9" w:rsidRDefault="00EC74B9" w:rsidP="0010609C">
      <w:pPr>
        <w:tabs>
          <w:tab w:val="left" w:pos="6030"/>
        </w:tabs>
        <w:spacing w:line="240" w:lineRule="auto"/>
      </w:pPr>
      <w:r>
        <w:t xml:space="preserve">Policy revisions approved on </w:t>
      </w:r>
      <w:r w:rsidR="008C706F">
        <w:t>December 31, 2025</w:t>
      </w:r>
    </w:p>
    <w:p w14:paraId="43F98477" w14:textId="6D8294C8" w:rsidR="00EC74B9" w:rsidRDefault="00EC74B9" w:rsidP="0010609C">
      <w:pPr>
        <w:tabs>
          <w:tab w:val="left" w:pos="6030"/>
        </w:tabs>
        <w:spacing w:line="240" w:lineRule="auto"/>
      </w:pPr>
      <w:r w:rsidRPr="00EC74B9">
        <w:rPr>
          <w:noProof/>
        </w:rPr>
        <w:drawing>
          <wp:inline distT="0" distB="0" distL="0" distR="0" wp14:anchorId="4592A45B" wp14:editId="16F2D889">
            <wp:extent cx="2689410" cy="609600"/>
            <wp:effectExtent l="0" t="0" r="0" b="0"/>
            <wp:docPr id="672040590" name="Picture 2" descr="Alison Zelms, City Administrator's signature, which shows approval of the polic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040590" name="Picture 2" descr="Alison Zelms, City Administrator's signature, which shows approval of the policy.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3814" cy="612865"/>
                    </a:xfrm>
                    <a:prstGeom prst="rect">
                      <a:avLst/>
                    </a:prstGeom>
                    <a:noFill/>
                    <a:ln>
                      <a:noFill/>
                    </a:ln>
                  </pic:spPr>
                </pic:pic>
              </a:graphicData>
            </a:graphic>
          </wp:inline>
        </w:drawing>
      </w:r>
    </w:p>
    <w:p w14:paraId="336EDE3C" w14:textId="746E178F" w:rsidR="003F5163" w:rsidRDefault="00EC74B9" w:rsidP="0010609C">
      <w:pPr>
        <w:tabs>
          <w:tab w:val="left" w:pos="6030"/>
        </w:tabs>
        <w:spacing w:line="240" w:lineRule="auto"/>
      </w:pPr>
      <w:r>
        <w:t>Alison Zelms</w:t>
      </w:r>
      <w:r w:rsidR="003F5163">
        <w:t>, City Administrator</w:t>
      </w:r>
    </w:p>
    <w:p w14:paraId="15BEC363" w14:textId="77777777" w:rsidR="003F5163" w:rsidRDefault="003F5163" w:rsidP="0010609C">
      <w:pPr>
        <w:tabs>
          <w:tab w:val="left" w:pos="6030"/>
        </w:tabs>
        <w:spacing w:line="240" w:lineRule="auto"/>
      </w:pPr>
    </w:p>
    <w:p w14:paraId="70499FAF" w14:textId="693E7660" w:rsidR="003F5163" w:rsidRDefault="003F5163" w:rsidP="0010609C">
      <w:pPr>
        <w:pStyle w:val="Heading2"/>
        <w:spacing w:line="240" w:lineRule="auto"/>
        <w:rPr>
          <w:rStyle w:val="SubtleEmphasis"/>
          <w:i w:val="0"/>
          <w:iCs w:val="0"/>
          <w:color w:val="auto"/>
          <w:sz w:val="24"/>
          <w:szCs w:val="22"/>
        </w:rPr>
      </w:pPr>
      <w:r w:rsidRPr="003F5163">
        <w:rPr>
          <w:rStyle w:val="SubtleEmphasis"/>
          <w:i w:val="0"/>
          <w:iCs w:val="0"/>
          <w:color w:val="auto"/>
          <w:sz w:val="24"/>
          <w:szCs w:val="22"/>
        </w:rPr>
        <w:t>Policy History</w:t>
      </w:r>
    </w:p>
    <w:p w14:paraId="4B11AE24" w14:textId="5E3D0798" w:rsidR="003F5163" w:rsidRPr="008C706F" w:rsidRDefault="003F5163" w:rsidP="0010609C">
      <w:pPr>
        <w:spacing w:line="240" w:lineRule="auto"/>
        <w:rPr>
          <w:sz w:val="22"/>
          <w:szCs w:val="22"/>
        </w:rPr>
      </w:pPr>
      <w:r w:rsidRPr="008C706F">
        <w:rPr>
          <w:sz w:val="22"/>
          <w:szCs w:val="22"/>
        </w:rPr>
        <w:t xml:space="preserve">Current Revision: </w:t>
      </w:r>
      <w:r w:rsidR="008C706F" w:rsidRPr="008C706F">
        <w:rPr>
          <w:sz w:val="22"/>
          <w:szCs w:val="22"/>
        </w:rPr>
        <w:t>01/2026</w:t>
      </w:r>
    </w:p>
    <w:p w14:paraId="6393660B" w14:textId="1D11FC06" w:rsidR="003F5163" w:rsidRPr="008C706F" w:rsidRDefault="003F5163" w:rsidP="0010609C">
      <w:pPr>
        <w:spacing w:line="240" w:lineRule="auto"/>
        <w:rPr>
          <w:sz w:val="22"/>
          <w:szCs w:val="22"/>
        </w:rPr>
      </w:pPr>
      <w:r w:rsidRPr="008C706F">
        <w:rPr>
          <w:sz w:val="22"/>
          <w:szCs w:val="22"/>
        </w:rPr>
        <w:t>Previous Revision(s):</w:t>
      </w:r>
      <w:r w:rsidR="008C706F" w:rsidRPr="008C706F">
        <w:rPr>
          <w:sz w:val="22"/>
          <w:szCs w:val="22"/>
        </w:rPr>
        <w:t xml:space="preserve"> 05/2019, 11/2017, 05/2014, 09/2008, 11/2004</w:t>
      </w:r>
    </w:p>
    <w:sectPr w:rsidR="003F5163" w:rsidRPr="008C706F" w:rsidSect="00854780">
      <w:headerReference w:type="default" r:id="rId13"/>
      <w:type w:val="continuous"/>
      <w:pgSz w:w="12240" w:h="15840"/>
      <w:pgMar w:top="720" w:right="1440" w:bottom="1440" w:left="1440" w:header="590"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CF075" w14:textId="77777777" w:rsidR="00D806DF" w:rsidRDefault="00D806DF" w:rsidP="00304D1F">
      <w:r>
        <w:separator/>
      </w:r>
    </w:p>
  </w:endnote>
  <w:endnote w:type="continuationSeparator" w:id="0">
    <w:p w14:paraId="06258D32" w14:textId="77777777" w:rsidR="00D806DF" w:rsidRDefault="00D806DF" w:rsidP="00304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2F711" w14:textId="77777777" w:rsidR="00D806DF" w:rsidRDefault="00D806DF" w:rsidP="00304D1F">
      <w:r>
        <w:separator/>
      </w:r>
    </w:p>
  </w:footnote>
  <w:footnote w:type="continuationSeparator" w:id="0">
    <w:p w14:paraId="0372727A" w14:textId="77777777" w:rsidR="00D806DF" w:rsidRDefault="00D806DF" w:rsidP="00304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E008" w14:textId="77777777" w:rsidR="00C85759" w:rsidRDefault="00C85759" w:rsidP="00304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425F"/>
    <w:multiLevelType w:val="hybridMultilevel"/>
    <w:tmpl w:val="C510B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72673"/>
    <w:multiLevelType w:val="hybridMultilevel"/>
    <w:tmpl w:val="A36E4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14411"/>
    <w:multiLevelType w:val="multilevel"/>
    <w:tmpl w:val="26A621AA"/>
    <w:lvl w:ilvl="0">
      <w:start w:val="7"/>
      <w:numFmt w:val="decimal"/>
      <w:lvlText w:val="%1"/>
      <w:lvlJc w:val="left"/>
      <w:pPr>
        <w:ind w:left="585" w:hanging="585"/>
      </w:pPr>
      <w:rPr>
        <w:rFonts w:hint="default"/>
      </w:rPr>
    </w:lvl>
    <w:lvl w:ilvl="1">
      <w:start w:val="3"/>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C42329"/>
    <w:multiLevelType w:val="hybridMultilevel"/>
    <w:tmpl w:val="3508F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05962"/>
    <w:multiLevelType w:val="hybridMultilevel"/>
    <w:tmpl w:val="0C84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B438C"/>
    <w:multiLevelType w:val="hybridMultilevel"/>
    <w:tmpl w:val="05362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C84755"/>
    <w:multiLevelType w:val="hybridMultilevel"/>
    <w:tmpl w:val="952C2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296AE7"/>
    <w:multiLevelType w:val="hybridMultilevel"/>
    <w:tmpl w:val="FA3E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7375F"/>
    <w:multiLevelType w:val="hybridMultilevel"/>
    <w:tmpl w:val="07488E86"/>
    <w:lvl w:ilvl="0" w:tplc="8A1CE20E">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A10D1C"/>
    <w:multiLevelType w:val="hybridMultilevel"/>
    <w:tmpl w:val="6D3C2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74923DE"/>
    <w:multiLevelType w:val="hybridMultilevel"/>
    <w:tmpl w:val="8F148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90773"/>
    <w:multiLevelType w:val="hybridMultilevel"/>
    <w:tmpl w:val="C9CC547A"/>
    <w:lvl w:ilvl="0" w:tplc="EA3ED7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E84B0A"/>
    <w:multiLevelType w:val="hybridMultilevel"/>
    <w:tmpl w:val="1E9A7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42C9B"/>
    <w:multiLevelType w:val="hybridMultilevel"/>
    <w:tmpl w:val="EA90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07B64"/>
    <w:multiLevelType w:val="hybridMultilevel"/>
    <w:tmpl w:val="D7FA1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FE7947"/>
    <w:multiLevelType w:val="hybridMultilevel"/>
    <w:tmpl w:val="269E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B905FA"/>
    <w:multiLevelType w:val="hybridMultilevel"/>
    <w:tmpl w:val="E8848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54134D5"/>
    <w:multiLevelType w:val="hybridMultilevel"/>
    <w:tmpl w:val="3C46B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0443403">
    <w:abstractNumId w:val="9"/>
  </w:num>
  <w:num w:numId="2" w16cid:durableId="1177840911">
    <w:abstractNumId w:val="9"/>
  </w:num>
  <w:num w:numId="3" w16cid:durableId="1600986767">
    <w:abstractNumId w:val="3"/>
  </w:num>
  <w:num w:numId="4" w16cid:durableId="1991249410">
    <w:abstractNumId w:val="2"/>
  </w:num>
  <w:num w:numId="5" w16cid:durableId="1842621057">
    <w:abstractNumId w:val="15"/>
  </w:num>
  <w:num w:numId="6" w16cid:durableId="674042829">
    <w:abstractNumId w:val="13"/>
  </w:num>
  <w:num w:numId="7" w16cid:durableId="1606842324">
    <w:abstractNumId w:val="12"/>
  </w:num>
  <w:num w:numId="8" w16cid:durableId="1686594550">
    <w:abstractNumId w:val="6"/>
  </w:num>
  <w:num w:numId="9" w16cid:durableId="1986427474">
    <w:abstractNumId w:val="16"/>
  </w:num>
  <w:num w:numId="10" w16cid:durableId="1883976744">
    <w:abstractNumId w:val="8"/>
  </w:num>
  <w:num w:numId="11" w16cid:durableId="1014645314">
    <w:abstractNumId w:val="4"/>
  </w:num>
  <w:num w:numId="12" w16cid:durableId="155806430">
    <w:abstractNumId w:val="0"/>
  </w:num>
  <w:num w:numId="13" w16cid:durableId="879169225">
    <w:abstractNumId w:val="17"/>
  </w:num>
  <w:num w:numId="14" w16cid:durableId="819535626">
    <w:abstractNumId w:val="1"/>
  </w:num>
  <w:num w:numId="15" w16cid:durableId="1280454280">
    <w:abstractNumId w:val="14"/>
  </w:num>
  <w:num w:numId="16" w16cid:durableId="1148396417">
    <w:abstractNumId w:val="10"/>
  </w:num>
  <w:num w:numId="17" w16cid:durableId="260721312">
    <w:abstractNumId w:val="7"/>
  </w:num>
  <w:num w:numId="18" w16cid:durableId="213346608">
    <w:abstractNumId w:val="5"/>
  </w:num>
  <w:num w:numId="19" w16cid:durableId="17116831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33"/>
    <w:rsid w:val="00016196"/>
    <w:rsid w:val="00021537"/>
    <w:rsid w:val="00024448"/>
    <w:rsid w:val="00027D6D"/>
    <w:rsid w:val="000A4112"/>
    <w:rsid w:val="000C2EFD"/>
    <w:rsid w:val="000C4069"/>
    <w:rsid w:val="000E540F"/>
    <w:rsid w:val="0010609C"/>
    <w:rsid w:val="001125D6"/>
    <w:rsid w:val="00116F6D"/>
    <w:rsid w:val="00142A43"/>
    <w:rsid w:val="001441DB"/>
    <w:rsid w:val="0014716A"/>
    <w:rsid w:val="0017283E"/>
    <w:rsid w:val="00173B1D"/>
    <w:rsid w:val="001936CB"/>
    <w:rsid w:val="001A5440"/>
    <w:rsid w:val="001B47EE"/>
    <w:rsid w:val="001C42E7"/>
    <w:rsid w:val="001D5DA6"/>
    <w:rsid w:val="00204D63"/>
    <w:rsid w:val="00223C1A"/>
    <w:rsid w:val="00224641"/>
    <w:rsid w:val="00231133"/>
    <w:rsid w:val="0023384B"/>
    <w:rsid w:val="00282C02"/>
    <w:rsid w:val="00295B5B"/>
    <w:rsid w:val="002A0948"/>
    <w:rsid w:val="002B1571"/>
    <w:rsid w:val="002B57E4"/>
    <w:rsid w:val="002C3EF1"/>
    <w:rsid w:val="00301B30"/>
    <w:rsid w:val="00304D1F"/>
    <w:rsid w:val="00331EF7"/>
    <w:rsid w:val="00332659"/>
    <w:rsid w:val="00340E1E"/>
    <w:rsid w:val="00353D56"/>
    <w:rsid w:val="00385A3B"/>
    <w:rsid w:val="0038630C"/>
    <w:rsid w:val="003A6E9F"/>
    <w:rsid w:val="003B7987"/>
    <w:rsid w:val="003F5163"/>
    <w:rsid w:val="00402844"/>
    <w:rsid w:val="00405FBA"/>
    <w:rsid w:val="00407B07"/>
    <w:rsid w:val="00421F7E"/>
    <w:rsid w:val="00427530"/>
    <w:rsid w:val="004307CB"/>
    <w:rsid w:val="004343D7"/>
    <w:rsid w:val="00460298"/>
    <w:rsid w:val="0046203B"/>
    <w:rsid w:val="0047304B"/>
    <w:rsid w:val="00481ABE"/>
    <w:rsid w:val="00490190"/>
    <w:rsid w:val="00495207"/>
    <w:rsid w:val="004A7492"/>
    <w:rsid w:val="004C3BFD"/>
    <w:rsid w:val="004C6431"/>
    <w:rsid w:val="004E3B67"/>
    <w:rsid w:val="004E6BB9"/>
    <w:rsid w:val="00513E0B"/>
    <w:rsid w:val="0051571F"/>
    <w:rsid w:val="005203BB"/>
    <w:rsid w:val="00554416"/>
    <w:rsid w:val="00580C59"/>
    <w:rsid w:val="0058108E"/>
    <w:rsid w:val="005D4AD7"/>
    <w:rsid w:val="005E7CCB"/>
    <w:rsid w:val="005F480E"/>
    <w:rsid w:val="00602D11"/>
    <w:rsid w:val="00603215"/>
    <w:rsid w:val="006174FF"/>
    <w:rsid w:val="00621F85"/>
    <w:rsid w:val="00636A84"/>
    <w:rsid w:val="00645E53"/>
    <w:rsid w:val="00663633"/>
    <w:rsid w:val="006671A2"/>
    <w:rsid w:val="006867B1"/>
    <w:rsid w:val="00706417"/>
    <w:rsid w:val="00717428"/>
    <w:rsid w:val="00722CCA"/>
    <w:rsid w:val="00723495"/>
    <w:rsid w:val="00740C16"/>
    <w:rsid w:val="007504A8"/>
    <w:rsid w:val="00751F62"/>
    <w:rsid w:val="00772F91"/>
    <w:rsid w:val="007733CB"/>
    <w:rsid w:val="0077650D"/>
    <w:rsid w:val="00776524"/>
    <w:rsid w:val="007A0EA6"/>
    <w:rsid w:val="007A6809"/>
    <w:rsid w:val="007B096F"/>
    <w:rsid w:val="007B1499"/>
    <w:rsid w:val="007D452E"/>
    <w:rsid w:val="007F370B"/>
    <w:rsid w:val="00817E2E"/>
    <w:rsid w:val="00854780"/>
    <w:rsid w:val="0086239A"/>
    <w:rsid w:val="00881941"/>
    <w:rsid w:val="0089529F"/>
    <w:rsid w:val="008A08F2"/>
    <w:rsid w:val="008C0220"/>
    <w:rsid w:val="008C706F"/>
    <w:rsid w:val="008E5085"/>
    <w:rsid w:val="008F05B3"/>
    <w:rsid w:val="008F72BB"/>
    <w:rsid w:val="009115B2"/>
    <w:rsid w:val="00923E96"/>
    <w:rsid w:val="00926655"/>
    <w:rsid w:val="009344D9"/>
    <w:rsid w:val="00955CAE"/>
    <w:rsid w:val="009A296D"/>
    <w:rsid w:val="009B3448"/>
    <w:rsid w:val="009F0FC2"/>
    <w:rsid w:val="00A010C6"/>
    <w:rsid w:val="00A05B6F"/>
    <w:rsid w:val="00A27E4E"/>
    <w:rsid w:val="00A33759"/>
    <w:rsid w:val="00A41F64"/>
    <w:rsid w:val="00A553B6"/>
    <w:rsid w:val="00A7445F"/>
    <w:rsid w:val="00A818B5"/>
    <w:rsid w:val="00A85119"/>
    <w:rsid w:val="00A90506"/>
    <w:rsid w:val="00A956E8"/>
    <w:rsid w:val="00AB1FC2"/>
    <w:rsid w:val="00AE3ECD"/>
    <w:rsid w:val="00AF3CCF"/>
    <w:rsid w:val="00B0215A"/>
    <w:rsid w:val="00B11FBD"/>
    <w:rsid w:val="00B42D09"/>
    <w:rsid w:val="00B5676A"/>
    <w:rsid w:val="00B93779"/>
    <w:rsid w:val="00B951EA"/>
    <w:rsid w:val="00BC03DE"/>
    <w:rsid w:val="00BC6072"/>
    <w:rsid w:val="00BF6D24"/>
    <w:rsid w:val="00C06037"/>
    <w:rsid w:val="00C24A2A"/>
    <w:rsid w:val="00C45EB2"/>
    <w:rsid w:val="00C5787B"/>
    <w:rsid w:val="00C61A03"/>
    <w:rsid w:val="00C6513D"/>
    <w:rsid w:val="00C65665"/>
    <w:rsid w:val="00C81FED"/>
    <w:rsid w:val="00C85759"/>
    <w:rsid w:val="00CB183E"/>
    <w:rsid w:val="00CB47CD"/>
    <w:rsid w:val="00CD3397"/>
    <w:rsid w:val="00D02145"/>
    <w:rsid w:val="00D338D6"/>
    <w:rsid w:val="00D51BE0"/>
    <w:rsid w:val="00D563FA"/>
    <w:rsid w:val="00D75A5A"/>
    <w:rsid w:val="00D806DF"/>
    <w:rsid w:val="00D97A54"/>
    <w:rsid w:val="00D97C45"/>
    <w:rsid w:val="00DA3E06"/>
    <w:rsid w:val="00DB4673"/>
    <w:rsid w:val="00DC2ED9"/>
    <w:rsid w:val="00DD3CA5"/>
    <w:rsid w:val="00DE6355"/>
    <w:rsid w:val="00DF6311"/>
    <w:rsid w:val="00E36189"/>
    <w:rsid w:val="00E40D1F"/>
    <w:rsid w:val="00E61CD6"/>
    <w:rsid w:val="00E7102A"/>
    <w:rsid w:val="00E77456"/>
    <w:rsid w:val="00E96314"/>
    <w:rsid w:val="00EB140A"/>
    <w:rsid w:val="00EC217D"/>
    <w:rsid w:val="00EC74B9"/>
    <w:rsid w:val="00ED1973"/>
    <w:rsid w:val="00ED1A85"/>
    <w:rsid w:val="00ED1EC9"/>
    <w:rsid w:val="00ED27F2"/>
    <w:rsid w:val="00EE15ED"/>
    <w:rsid w:val="00EE67AB"/>
    <w:rsid w:val="00EF2A10"/>
    <w:rsid w:val="00F65181"/>
    <w:rsid w:val="00F851CD"/>
    <w:rsid w:val="00F86062"/>
    <w:rsid w:val="00FA3DDD"/>
    <w:rsid w:val="00FB5978"/>
    <w:rsid w:val="00FC6452"/>
    <w:rsid w:val="00FD4D71"/>
    <w:rsid w:val="00FD5E3E"/>
    <w:rsid w:val="00FE594B"/>
    <w:rsid w:val="00FE69BB"/>
    <w:rsid w:val="00FF1BFA"/>
    <w:rsid w:val="00FF6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BA43C"/>
  <w15:chartTrackingRefBased/>
  <w15:docId w15:val="{0FDD8E88-156E-43C3-A15A-DB75F5D0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779"/>
    <w:pPr>
      <w:spacing w:after="120"/>
    </w:pPr>
    <w:rPr>
      <w:rFonts w:ascii="Arial" w:hAnsi="Arial" w:cs="Arial"/>
    </w:rPr>
  </w:style>
  <w:style w:type="paragraph" w:styleId="Heading1">
    <w:name w:val="heading 1"/>
    <w:basedOn w:val="Normal"/>
    <w:next w:val="Normal"/>
    <w:link w:val="Heading1Char"/>
    <w:uiPriority w:val="9"/>
    <w:qFormat/>
    <w:rsid w:val="004C3BFD"/>
    <w:pPr>
      <w:keepNext/>
      <w:keepLines/>
      <w:spacing w:before="240" w:after="80"/>
      <w:outlineLvl w:val="0"/>
    </w:pPr>
    <w:rPr>
      <w:rFonts w:eastAsiaTheme="majorEastAsia"/>
      <w:b/>
      <w:bCs/>
      <w:color w:val="00586F" w:themeColor="text2"/>
      <w:sz w:val="44"/>
      <w:szCs w:val="40"/>
    </w:rPr>
  </w:style>
  <w:style w:type="paragraph" w:styleId="Heading2">
    <w:name w:val="heading 2"/>
    <w:basedOn w:val="Normal"/>
    <w:next w:val="Normal"/>
    <w:link w:val="Heading2Char"/>
    <w:uiPriority w:val="9"/>
    <w:unhideWhenUsed/>
    <w:qFormat/>
    <w:rsid w:val="009A296D"/>
    <w:pPr>
      <w:keepNext/>
      <w:keepLines/>
      <w:spacing w:before="160" w:after="80"/>
      <w:outlineLvl w:val="1"/>
    </w:pPr>
    <w:rPr>
      <w:rFonts w:eastAsiaTheme="majorEastAsia"/>
      <w:b/>
      <w:bCs/>
      <w:color w:val="00586F" w:themeColor="text2"/>
      <w:sz w:val="36"/>
      <w:szCs w:val="32"/>
    </w:rPr>
  </w:style>
  <w:style w:type="paragraph" w:styleId="Heading3">
    <w:name w:val="heading 3"/>
    <w:basedOn w:val="Normal"/>
    <w:next w:val="Normal"/>
    <w:link w:val="Heading3Char"/>
    <w:uiPriority w:val="9"/>
    <w:unhideWhenUsed/>
    <w:qFormat/>
    <w:rsid w:val="004C3BFD"/>
    <w:pPr>
      <w:keepNext/>
      <w:keepLines/>
      <w:spacing w:before="160" w:after="80"/>
      <w:outlineLvl w:val="2"/>
    </w:pPr>
    <w:rPr>
      <w:rFonts w:eastAsiaTheme="majorEastAsia"/>
      <w:color w:val="00586F" w:themeColor="text2"/>
      <w:sz w:val="32"/>
      <w:szCs w:val="28"/>
    </w:rPr>
  </w:style>
  <w:style w:type="paragraph" w:styleId="Heading4">
    <w:name w:val="heading 4"/>
    <w:basedOn w:val="Normal"/>
    <w:next w:val="Normal"/>
    <w:link w:val="Heading4Char"/>
    <w:uiPriority w:val="9"/>
    <w:unhideWhenUsed/>
    <w:qFormat/>
    <w:rsid w:val="004C3BFD"/>
    <w:pPr>
      <w:keepNext/>
      <w:keepLines/>
      <w:spacing w:before="80" w:after="40"/>
      <w:outlineLvl w:val="3"/>
    </w:pPr>
    <w:rPr>
      <w:rFonts w:eastAsiaTheme="majorEastAsia"/>
      <w:i/>
      <w:iCs/>
      <w:color w:val="00586F" w:themeColor="text2"/>
      <w:sz w:val="28"/>
    </w:rPr>
  </w:style>
  <w:style w:type="paragraph" w:styleId="Heading5">
    <w:name w:val="heading 5"/>
    <w:basedOn w:val="Normal"/>
    <w:next w:val="Normal"/>
    <w:link w:val="Heading5Char"/>
    <w:uiPriority w:val="9"/>
    <w:semiHidden/>
    <w:unhideWhenUsed/>
    <w:rsid w:val="001125D6"/>
    <w:pPr>
      <w:keepNext/>
      <w:keepLines/>
      <w:spacing w:before="80" w:after="40"/>
      <w:outlineLvl w:val="4"/>
    </w:pPr>
    <w:rPr>
      <w:rFonts w:eastAsiaTheme="majorEastAsia" w:cstheme="majorBidi"/>
      <w:color w:val="39A4BD" w:themeColor="accent1" w:themeShade="BF"/>
    </w:rPr>
  </w:style>
  <w:style w:type="paragraph" w:styleId="Heading6">
    <w:name w:val="heading 6"/>
    <w:basedOn w:val="Normal"/>
    <w:next w:val="Normal"/>
    <w:link w:val="Heading6Char"/>
    <w:uiPriority w:val="9"/>
    <w:semiHidden/>
    <w:unhideWhenUsed/>
    <w:qFormat/>
    <w:rsid w:val="001125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5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5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5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BFD"/>
    <w:rPr>
      <w:rFonts w:ascii="Arial" w:eastAsiaTheme="majorEastAsia" w:hAnsi="Arial" w:cs="Arial"/>
      <w:b/>
      <w:bCs/>
      <w:color w:val="00586F" w:themeColor="text2"/>
      <w:sz w:val="44"/>
      <w:szCs w:val="40"/>
    </w:rPr>
  </w:style>
  <w:style w:type="character" w:customStyle="1" w:styleId="Heading2Char">
    <w:name w:val="Heading 2 Char"/>
    <w:basedOn w:val="DefaultParagraphFont"/>
    <w:link w:val="Heading2"/>
    <w:uiPriority w:val="9"/>
    <w:rsid w:val="009A296D"/>
    <w:rPr>
      <w:rFonts w:ascii="Arial" w:eastAsiaTheme="majorEastAsia" w:hAnsi="Arial" w:cs="Arial"/>
      <w:b/>
      <w:bCs/>
      <w:color w:val="00586F" w:themeColor="text2"/>
      <w:sz w:val="36"/>
      <w:szCs w:val="32"/>
    </w:rPr>
  </w:style>
  <w:style w:type="character" w:customStyle="1" w:styleId="Heading3Char">
    <w:name w:val="Heading 3 Char"/>
    <w:basedOn w:val="DefaultParagraphFont"/>
    <w:link w:val="Heading3"/>
    <w:uiPriority w:val="9"/>
    <w:rsid w:val="004C3BFD"/>
    <w:rPr>
      <w:rFonts w:ascii="Arial" w:eastAsiaTheme="majorEastAsia" w:hAnsi="Arial" w:cs="Arial"/>
      <w:color w:val="00586F" w:themeColor="text2"/>
      <w:sz w:val="32"/>
      <w:szCs w:val="28"/>
    </w:rPr>
  </w:style>
  <w:style w:type="character" w:customStyle="1" w:styleId="Heading4Char">
    <w:name w:val="Heading 4 Char"/>
    <w:basedOn w:val="DefaultParagraphFont"/>
    <w:link w:val="Heading4"/>
    <w:uiPriority w:val="9"/>
    <w:rsid w:val="004C3BFD"/>
    <w:rPr>
      <w:rFonts w:ascii="Arial" w:eastAsiaTheme="majorEastAsia" w:hAnsi="Arial" w:cs="Arial"/>
      <w:i/>
      <w:iCs/>
      <w:color w:val="00586F" w:themeColor="text2"/>
      <w:sz w:val="28"/>
    </w:rPr>
  </w:style>
  <w:style w:type="character" w:customStyle="1" w:styleId="Heading5Char">
    <w:name w:val="Heading 5 Char"/>
    <w:basedOn w:val="DefaultParagraphFont"/>
    <w:link w:val="Heading5"/>
    <w:uiPriority w:val="9"/>
    <w:semiHidden/>
    <w:rsid w:val="001125D6"/>
    <w:rPr>
      <w:rFonts w:eastAsiaTheme="majorEastAsia" w:cstheme="majorBidi"/>
      <w:color w:val="39A4BD" w:themeColor="accent1" w:themeShade="BF"/>
    </w:rPr>
  </w:style>
  <w:style w:type="character" w:customStyle="1" w:styleId="Heading6Char">
    <w:name w:val="Heading 6 Char"/>
    <w:basedOn w:val="DefaultParagraphFont"/>
    <w:link w:val="Heading6"/>
    <w:uiPriority w:val="9"/>
    <w:semiHidden/>
    <w:rsid w:val="001125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5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5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5D6"/>
    <w:rPr>
      <w:rFonts w:eastAsiaTheme="majorEastAsia" w:cstheme="majorBidi"/>
      <w:color w:val="272727" w:themeColor="text1" w:themeTint="D8"/>
    </w:rPr>
  </w:style>
  <w:style w:type="paragraph" w:styleId="Title">
    <w:name w:val="Title"/>
    <w:basedOn w:val="Normal"/>
    <w:next w:val="Normal"/>
    <w:link w:val="TitleChar"/>
    <w:uiPriority w:val="10"/>
    <w:qFormat/>
    <w:rsid w:val="00C85759"/>
    <w:pPr>
      <w:spacing w:before="360" w:after="40" w:line="240" w:lineRule="auto"/>
      <w:contextualSpacing/>
    </w:pPr>
    <w:rPr>
      <w:rFonts w:eastAsiaTheme="majorEastAsia"/>
      <w:b/>
      <w:bCs/>
      <w:color w:val="00586F" w:themeColor="text2"/>
      <w:spacing w:val="-10"/>
      <w:kern w:val="28"/>
      <w:sz w:val="56"/>
      <w:szCs w:val="56"/>
    </w:rPr>
  </w:style>
  <w:style w:type="character" w:customStyle="1" w:styleId="TitleChar">
    <w:name w:val="Title Char"/>
    <w:basedOn w:val="DefaultParagraphFont"/>
    <w:link w:val="Title"/>
    <w:uiPriority w:val="10"/>
    <w:rsid w:val="00C85759"/>
    <w:rPr>
      <w:rFonts w:ascii="Arial" w:eastAsiaTheme="majorEastAsia" w:hAnsi="Arial" w:cs="Arial"/>
      <w:b/>
      <w:bCs/>
      <w:color w:val="00586F" w:themeColor="text2"/>
      <w:spacing w:val="-10"/>
      <w:kern w:val="28"/>
      <w:sz w:val="56"/>
      <w:szCs w:val="56"/>
    </w:rPr>
  </w:style>
  <w:style w:type="paragraph" w:styleId="Subtitle">
    <w:name w:val="Subtitle"/>
    <w:basedOn w:val="Normal"/>
    <w:next w:val="Normal"/>
    <w:link w:val="SubtitleChar"/>
    <w:uiPriority w:val="11"/>
    <w:qFormat/>
    <w:rsid w:val="00223C1A"/>
    <w:pPr>
      <w:numPr>
        <w:ilvl w:val="1"/>
      </w:numPr>
      <w:spacing w:after="40"/>
    </w:pPr>
    <w:rPr>
      <w:rFonts w:eastAsiaTheme="majorEastAsia" w:cstheme="majorBidi"/>
      <w:b/>
      <w:color w:val="595959" w:themeColor="text1" w:themeTint="A6"/>
      <w:spacing w:val="8"/>
      <w:sz w:val="32"/>
      <w:szCs w:val="28"/>
    </w:rPr>
  </w:style>
  <w:style w:type="character" w:customStyle="1" w:styleId="SubtitleChar">
    <w:name w:val="Subtitle Char"/>
    <w:basedOn w:val="DefaultParagraphFont"/>
    <w:link w:val="Subtitle"/>
    <w:uiPriority w:val="11"/>
    <w:rsid w:val="00223C1A"/>
    <w:rPr>
      <w:rFonts w:ascii="Arial" w:eastAsiaTheme="majorEastAsia" w:hAnsi="Arial" w:cstheme="majorBidi"/>
      <w:b/>
      <w:color w:val="595959" w:themeColor="text1" w:themeTint="A6"/>
      <w:spacing w:val="8"/>
      <w:sz w:val="32"/>
      <w:szCs w:val="28"/>
    </w:rPr>
  </w:style>
  <w:style w:type="paragraph" w:styleId="Quote">
    <w:name w:val="Quote"/>
    <w:basedOn w:val="Normal"/>
    <w:next w:val="Normal"/>
    <w:link w:val="QuoteChar"/>
    <w:uiPriority w:val="29"/>
    <w:rsid w:val="001125D6"/>
    <w:pPr>
      <w:spacing w:before="160"/>
      <w:jc w:val="center"/>
    </w:pPr>
    <w:rPr>
      <w:i/>
      <w:iCs/>
      <w:color w:val="404040" w:themeColor="text1" w:themeTint="BF"/>
    </w:rPr>
  </w:style>
  <w:style w:type="character" w:customStyle="1" w:styleId="QuoteChar">
    <w:name w:val="Quote Char"/>
    <w:basedOn w:val="DefaultParagraphFont"/>
    <w:link w:val="Quote"/>
    <w:uiPriority w:val="29"/>
    <w:rsid w:val="001125D6"/>
    <w:rPr>
      <w:i/>
      <w:iCs/>
      <w:color w:val="404040" w:themeColor="text1" w:themeTint="BF"/>
    </w:rPr>
  </w:style>
  <w:style w:type="paragraph" w:styleId="ListParagraph">
    <w:name w:val="List Paragraph"/>
    <w:basedOn w:val="Normal"/>
    <w:uiPriority w:val="34"/>
    <w:qFormat/>
    <w:rsid w:val="00772F91"/>
    <w:pPr>
      <w:numPr>
        <w:numId w:val="10"/>
      </w:numPr>
      <w:spacing w:after="160"/>
      <w:ind w:left="720"/>
      <w:contextualSpacing/>
    </w:pPr>
  </w:style>
  <w:style w:type="character" w:styleId="IntenseEmphasis">
    <w:name w:val="Intense Emphasis"/>
    <w:basedOn w:val="DefaultParagraphFont"/>
    <w:uiPriority w:val="21"/>
    <w:rsid w:val="001125D6"/>
    <w:rPr>
      <w:i/>
      <w:iCs/>
      <w:color w:val="39A4BD" w:themeColor="accent1" w:themeShade="BF"/>
    </w:rPr>
  </w:style>
  <w:style w:type="paragraph" w:styleId="IntenseQuote">
    <w:name w:val="Intense Quote"/>
    <w:basedOn w:val="Normal"/>
    <w:next w:val="Normal"/>
    <w:link w:val="IntenseQuoteChar"/>
    <w:uiPriority w:val="30"/>
    <w:rsid w:val="00513E0B"/>
    <w:pPr>
      <w:pBdr>
        <w:top w:val="single" w:sz="4" w:space="10" w:color="39A4BD" w:themeColor="accent1" w:themeShade="BF"/>
        <w:bottom w:val="single" w:sz="4" w:space="10" w:color="39A4BD" w:themeColor="accent1" w:themeShade="BF"/>
      </w:pBdr>
      <w:spacing w:before="360" w:after="360"/>
      <w:ind w:left="864" w:right="864"/>
      <w:jc w:val="center"/>
    </w:pPr>
    <w:rPr>
      <w:i/>
      <w:iCs/>
      <w:color w:val="00586F" w:themeColor="text2"/>
    </w:rPr>
  </w:style>
  <w:style w:type="character" w:customStyle="1" w:styleId="IntenseQuoteChar">
    <w:name w:val="Intense Quote Char"/>
    <w:basedOn w:val="DefaultParagraphFont"/>
    <w:link w:val="IntenseQuote"/>
    <w:uiPriority w:val="30"/>
    <w:rsid w:val="00513E0B"/>
    <w:rPr>
      <w:rFonts w:ascii="Arial" w:hAnsi="Arial" w:cs="Arial"/>
      <w:i/>
      <w:iCs/>
      <w:color w:val="00586F" w:themeColor="text2"/>
    </w:rPr>
  </w:style>
  <w:style w:type="character" w:styleId="IntenseReference">
    <w:name w:val="Intense Reference"/>
    <w:basedOn w:val="DefaultParagraphFont"/>
    <w:uiPriority w:val="32"/>
    <w:rsid w:val="001125D6"/>
    <w:rPr>
      <w:b/>
      <w:bCs/>
      <w:smallCaps/>
      <w:color w:val="39A4BD" w:themeColor="accent1" w:themeShade="BF"/>
      <w:spacing w:val="5"/>
    </w:rPr>
  </w:style>
  <w:style w:type="paragraph" w:styleId="Header">
    <w:name w:val="header"/>
    <w:basedOn w:val="Normal"/>
    <w:link w:val="HeaderChar"/>
    <w:uiPriority w:val="99"/>
    <w:unhideWhenUsed/>
    <w:rsid w:val="00112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5D6"/>
  </w:style>
  <w:style w:type="paragraph" w:styleId="Footer">
    <w:name w:val="footer"/>
    <w:basedOn w:val="Normal"/>
    <w:link w:val="FooterChar"/>
    <w:uiPriority w:val="99"/>
    <w:unhideWhenUsed/>
    <w:rsid w:val="00112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5D6"/>
  </w:style>
  <w:style w:type="table" w:styleId="TableGrid">
    <w:name w:val="Table Grid"/>
    <w:basedOn w:val="TableNormal"/>
    <w:uiPriority w:val="39"/>
    <w:rsid w:val="00112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rsid w:val="005E7CCB"/>
    <w:rPr>
      <w:b/>
      <w:bCs/>
      <w:i/>
      <w:iCs/>
      <w:spacing w:val="5"/>
    </w:rPr>
  </w:style>
  <w:style w:type="character" w:styleId="SubtleReference">
    <w:name w:val="Subtle Reference"/>
    <w:basedOn w:val="DefaultParagraphFont"/>
    <w:uiPriority w:val="31"/>
    <w:rsid w:val="005E7CCB"/>
    <w:rPr>
      <w:smallCaps/>
      <w:color w:val="5A5A5A" w:themeColor="text1" w:themeTint="A5"/>
    </w:rPr>
  </w:style>
  <w:style w:type="character" w:styleId="Strong">
    <w:name w:val="Strong"/>
    <w:basedOn w:val="DefaultParagraphFont"/>
    <w:uiPriority w:val="22"/>
    <w:rsid w:val="005E7CCB"/>
    <w:rPr>
      <w:b/>
      <w:bCs/>
    </w:rPr>
  </w:style>
  <w:style w:type="character" w:styleId="SubtleEmphasis">
    <w:name w:val="Subtle Emphasis"/>
    <w:basedOn w:val="DefaultParagraphFont"/>
    <w:uiPriority w:val="19"/>
    <w:qFormat/>
    <w:rsid w:val="005E7CCB"/>
    <w:rPr>
      <w:i/>
      <w:iCs/>
      <w:color w:val="404040" w:themeColor="text1" w:themeTint="BF"/>
    </w:rPr>
  </w:style>
  <w:style w:type="table" w:styleId="ListTable3-Accent4">
    <w:name w:val="List Table 3 Accent 4"/>
    <w:basedOn w:val="TableNormal"/>
    <w:uiPriority w:val="48"/>
    <w:rsid w:val="005F480E"/>
    <w:pPr>
      <w:spacing w:after="0" w:line="240" w:lineRule="auto"/>
    </w:pPr>
    <w:tblPr>
      <w:tblStyleRowBandSize w:val="1"/>
      <w:tblStyleColBandSize w:val="1"/>
      <w:tblBorders>
        <w:top w:val="single" w:sz="4" w:space="0" w:color="00586F" w:themeColor="accent4"/>
        <w:left w:val="single" w:sz="4" w:space="0" w:color="00586F" w:themeColor="accent4"/>
        <w:bottom w:val="single" w:sz="4" w:space="0" w:color="00586F" w:themeColor="accent4"/>
        <w:right w:val="single" w:sz="4" w:space="0" w:color="00586F" w:themeColor="accent4"/>
      </w:tblBorders>
    </w:tblPr>
    <w:tblStylePr w:type="firstRow">
      <w:rPr>
        <w:b/>
        <w:bCs/>
        <w:color w:val="FFFFFF" w:themeColor="background1"/>
      </w:rPr>
      <w:tblPr/>
      <w:tcPr>
        <w:shd w:val="clear" w:color="auto" w:fill="00586F" w:themeFill="accent4"/>
      </w:tcPr>
    </w:tblStylePr>
    <w:tblStylePr w:type="lastRow">
      <w:rPr>
        <w:b/>
        <w:bCs/>
      </w:rPr>
      <w:tblPr/>
      <w:tcPr>
        <w:tcBorders>
          <w:top w:val="double" w:sz="4" w:space="0" w:color="00586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86F" w:themeColor="accent4"/>
          <w:right w:val="single" w:sz="4" w:space="0" w:color="00586F" w:themeColor="accent4"/>
        </w:tcBorders>
      </w:tcPr>
    </w:tblStylePr>
    <w:tblStylePr w:type="band1Horz">
      <w:tblPr/>
      <w:tcPr>
        <w:tcBorders>
          <w:top w:val="single" w:sz="4" w:space="0" w:color="00586F" w:themeColor="accent4"/>
          <w:bottom w:val="single" w:sz="4" w:space="0" w:color="00586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86F" w:themeColor="accent4"/>
          <w:left w:val="nil"/>
        </w:tcBorders>
      </w:tcPr>
    </w:tblStylePr>
    <w:tblStylePr w:type="swCell">
      <w:tblPr/>
      <w:tcPr>
        <w:tcBorders>
          <w:top w:val="double" w:sz="4" w:space="0" w:color="00586F" w:themeColor="accent4"/>
          <w:right w:val="nil"/>
        </w:tcBorders>
      </w:tcPr>
    </w:tblStylePr>
  </w:style>
  <w:style w:type="table" w:styleId="ListTable3-Accent5">
    <w:name w:val="List Table 3 Accent 5"/>
    <w:basedOn w:val="TableNormal"/>
    <w:uiPriority w:val="48"/>
    <w:rsid w:val="00FA3DDD"/>
    <w:pPr>
      <w:spacing w:after="0" w:line="240" w:lineRule="auto"/>
    </w:pPr>
    <w:tblPr>
      <w:tblStyleRowBandSize w:val="1"/>
      <w:tblStyleColBandSize w:val="1"/>
      <w:tblBorders>
        <w:top w:val="single" w:sz="4" w:space="0" w:color="833177" w:themeColor="accent5"/>
        <w:left w:val="single" w:sz="4" w:space="0" w:color="833177" w:themeColor="accent5"/>
        <w:bottom w:val="single" w:sz="4" w:space="0" w:color="833177" w:themeColor="accent5"/>
        <w:right w:val="single" w:sz="4" w:space="0" w:color="833177" w:themeColor="accent5"/>
      </w:tblBorders>
    </w:tblPr>
    <w:tblStylePr w:type="firstRow">
      <w:rPr>
        <w:b/>
        <w:bCs/>
        <w:color w:val="FFFFFF" w:themeColor="background1"/>
      </w:rPr>
      <w:tblPr/>
      <w:tcPr>
        <w:shd w:val="clear" w:color="auto" w:fill="833177" w:themeFill="accent5"/>
      </w:tcPr>
    </w:tblStylePr>
    <w:tblStylePr w:type="lastRow">
      <w:rPr>
        <w:b/>
        <w:bCs/>
      </w:rPr>
      <w:tblPr/>
      <w:tcPr>
        <w:tcBorders>
          <w:top w:val="double" w:sz="4" w:space="0" w:color="83317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33177" w:themeColor="accent5"/>
          <w:right w:val="single" w:sz="4" w:space="0" w:color="833177" w:themeColor="accent5"/>
        </w:tcBorders>
      </w:tcPr>
    </w:tblStylePr>
    <w:tblStylePr w:type="band1Horz">
      <w:tblPr/>
      <w:tcPr>
        <w:tcBorders>
          <w:top w:val="single" w:sz="4" w:space="0" w:color="833177" w:themeColor="accent5"/>
          <w:bottom w:val="single" w:sz="4" w:space="0" w:color="83317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33177" w:themeColor="accent5"/>
          <w:left w:val="nil"/>
        </w:tcBorders>
      </w:tcPr>
    </w:tblStylePr>
    <w:tblStylePr w:type="swCell">
      <w:tblPr/>
      <w:tcPr>
        <w:tcBorders>
          <w:top w:val="double" w:sz="4" w:space="0" w:color="833177" w:themeColor="accent5"/>
          <w:right w:val="nil"/>
        </w:tcBorders>
      </w:tcPr>
    </w:tblStylePr>
  </w:style>
  <w:style w:type="table" w:styleId="ListTable3-Accent3">
    <w:name w:val="List Table 3 Accent 3"/>
    <w:basedOn w:val="TableNormal"/>
    <w:uiPriority w:val="48"/>
    <w:rsid w:val="00FA3DDD"/>
    <w:pPr>
      <w:spacing w:after="0" w:line="240" w:lineRule="auto"/>
    </w:pPr>
    <w:tblPr>
      <w:tblStyleRowBandSize w:val="1"/>
      <w:tblStyleColBandSize w:val="1"/>
      <w:tblBorders>
        <w:top w:val="single" w:sz="4" w:space="0" w:color="A5BAC9" w:themeColor="accent3"/>
        <w:left w:val="single" w:sz="4" w:space="0" w:color="A5BAC9" w:themeColor="accent3"/>
        <w:bottom w:val="single" w:sz="4" w:space="0" w:color="A5BAC9" w:themeColor="accent3"/>
        <w:right w:val="single" w:sz="4" w:space="0" w:color="A5BAC9" w:themeColor="accent3"/>
      </w:tblBorders>
    </w:tblPr>
    <w:tblStylePr w:type="firstRow">
      <w:rPr>
        <w:b/>
        <w:bCs/>
        <w:color w:val="FFFFFF" w:themeColor="background1"/>
      </w:rPr>
      <w:tblPr/>
      <w:tcPr>
        <w:shd w:val="clear" w:color="auto" w:fill="A5BAC9" w:themeFill="accent3"/>
      </w:tcPr>
    </w:tblStylePr>
    <w:tblStylePr w:type="lastRow">
      <w:rPr>
        <w:b/>
        <w:bCs/>
      </w:rPr>
      <w:tblPr/>
      <w:tcPr>
        <w:tcBorders>
          <w:top w:val="double" w:sz="4" w:space="0" w:color="A5BAC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AC9" w:themeColor="accent3"/>
          <w:right w:val="single" w:sz="4" w:space="0" w:color="A5BAC9" w:themeColor="accent3"/>
        </w:tcBorders>
      </w:tcPr>
    </w:tblStylePr>
    <w:tblStylePr w:type="band1Horz">
      <w:tblPr/>
      <w:tcPr>
        <w:tcBorders>
          <w:top w:val="single" w:sz="4" w:space="0" w:color="A5BAC9" w:themeColor="accent3"/>
          <w:bottom w:val="single" w:sz="4" w:space="0" w:color="A5BAC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AC9" w:themeColor="accent3"/>
          <w:left w:val="nil"/>
        </w:tcBorders>
      </w:tcPr>
    </w:tblStylePr>
    <w:tblStylePr w:type="swCell">
      <w:tblPr/>
      <w:tcPr>
        <w:tcBorders>
          <w:top w:val="double" w:sz="4" w:space="0" w:color="A5BAC9" w:themeColor="accent3"/>
          <w:right w:val="nil"/>
        </w:tcBorders>
      </w:tcPr>
    </w:tblStylePr>
  </w:style>
  <w:style w:type="table" w:styleId="ListTable3-Accent2">
    <w:name w:val="List Table 3 Accent 2"/>
    <w:basedOn w:val="TableNormal"/>
    <w:uiPriority w:val="48"/>
    <w:rsid w:val="00FA3DDD"/>
    <w:pPr>
      <w:spacing w:after="0" w:line="240" w:lineRule="auto"/>
    </w:pPr>
    <w:tblPr>
      <w:tblStyleRowBandSize w:val="1"/>
      <w:tblStyleColBandSize w:val="1"/>
      <w:tblBorders>
        <w:top w:val="single" w:sz="4" w:space="0" w:color="E6D67D" w:themeColor="accent2"/>
        <w:left w:val="single" w:sz="4" w:space="0" w:color="E6D67D" w:themeColor="accent2"/>
        <w:bottom w:val="single" w:sz="4" w:space="0" w:color="E6D67D" w:themeColor="accent2"/>
        <w:right w:val="single" w:sz="4" w:space="0" w:color="E6D67D" w:themeColor="accent2"/>
      </w:tblBorders>
    </w:tblPr>
    <w:tblStylePr w:type="firstRow">
      <w:rPr>
        <w:b/>
        <w:bCs/>
        <w:color w:val="FFFFFF" w:themeColor="background1"/>
      </w:rPr>
      <w:tblPr/>
      <w:tcPr>
        <w:shd w:val="clear" w:color="auto" w:fill="E6D67D" w:themeFill="accent2"/>
      </w:tcPr>
    </w:tblStylePr>
    <w:tblStylePr w:type="lastRow">
      <w:rPr>
        <w:b/>
        <w:bCs/>
      </w:rPr>
      <w:tblPr/>
      <w:tcPr>
        <w:tcBorders>
          <w:top w:val="double" w:sz="4" w:space="0" w:color="E6D67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D67D" w:themeColor="accent2"/>
          <w:right w:val="single" w:sz="4" w:space="0" w:color="E6D67D" w:themeColor="accent2"/>
        </w:tcBorders>
      </w:tcPr>
    </w:tblStylePr>
    <w:tblStylePr w:type="band1Horz">
      <w:tblPr/>
      <w:tcPr>
        <w:tcBorders>
          <w:top w:val="single" w:sz="4" w:space="0" w:color="E6D67D" w:themeColor="accent2"/>
          <w:bottom w:val="single" w:sz="4" w:space="0" w:color="E6D67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D67D" w:themeColor="accent2"/>
          <w:left w:val="nil"/>
        </w:tcBorders>
      </w:tcPr>
    </w:tblStylePr>
    <w:tblStylePr w:type="swCell">
      <w:tblPr/>
      <w:tcPr>
        <w:tcBorders>
          <w:top w:val="double" w:sz="4" w:space="0" w:color="E6D67D" w:themeColor="accent2"/>
          <w:right w:val="nil"/>
        </w:tcBorders>
      </w:tcPr>
    </w:tblStylePr>
  </w:style>
  <w:style w:type="table" w:styleId="ListTable4">
    <w:name w:val="List Table 4"/>
    <w:basedOn w:val="TableNormal"/>
    <w:uiPriority w:val="49"/>
    <w:rsid w:val="00FA3DD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A3DDD"/>
    <w:pPr>
      <w:spacing w:after="0" w:line="240" w:lineRule="auto"/>
    </w:pPr>
    <w:tblPr>
      <w:tblStyleRowBandSize w:val="1"/>
      <w:tblStyleColBandSize w:val="1"/>
      <w:tblBorders>
        <w:top w:val="single" w:sz="4" w:space="0" w:color="ABDAE5" w:themeColor="accent1" w:themeTint="99"/>
        <w:left w:val="single" w:sz="4" w:space="0" w:color="ABDAE5" w:themeColor="accent1" w:themeTint="99"/>
        <w:bottom w:val="single" w:sz="4" w:space="0" w:color="ABDAE5" w:themeColor="accent1" w:themeTint="99"/>
        <w:right w:val="single" w:sz="4" w:space="0" w:color="ABDAE5" w:themeColor="accent1" w:themeTint="99"/>
        <w:insideH w:val="single" w:sz="4" w:space="0" w:color="ABDAE5" w:themeColor="accent1" w:themeTint="99"/>
      </w:tblBorders>
    </w:tblPr>
    <w:tblStylePr w:type="firstRow">
      <w:rPr>
        <w:b/>
        <w:bCs/>
        <w:color w:val="FFFFFF" w:themeColor="background1"/>
      </w:rPr>
      <w:tblPr/>
      <w:tcPr>
        <w:tcBorders>
          <w:top w:val="single" w:sz="4" w:space="0" w:color="74C3D5" w:themeColor="accent1"/>
          <w:left w:val="single" w:sz="4" w:space="0" w:color="74C3D5" w:themeColor="accent1"/>
          <w:bottom w:val="single" w:sz="4" w:space="0" w:color="74C3D5" w:themeColor="accent1"/>
          <w:right w:val="single" w:sz="4" w:space="0" w:color="74C3D5" w:themeColor="accent1"/>
          <w:insideH w:val="nil"/>
        </w:tcBorders>
        <w:shd w:val="clear" w:color="auto" w:fill="74C3D5" w:themeFill="accent1"/>
      </w:tcPr>
    </w:tblStylePr>
    <w:tblStylePr w:type="lastRow">
      <w:rPr>
        <w:b/>
        <w:bCs/>
      </w:rPr>
      <w:tblPr/>
      <w:tcPr>
        <w:tcBorders>
          <w:top w:val="double" w:sz="4" w:space="0" w:color="ABDAE5" w:themeColor="accent1" w:themeTint="99"/>
        </w:tcBorders>
      </w:tcPr>
    </w:tblStylePr>
    <w:tblStylePr w:type="firstCol">
      <w:rPr>
        <w:b/>
        <w:bCs/>
      </w:rPr>
    </w:tblStylePr>
    <w:tblStylePr w:type="lastCol">
      <w:rPr>
        <w:b/>
        <w:bCs/>
      </w:rPr>
    </w:tblStylePr>
    <w:tblStylePr w:type="band1Vert">
      <w:tblPr/>
      <w:tcPr>
        <w:shd w:val="clear" w:color="auto" w:fill="E3F2F6" w:themeFill="accent1" w:themeFillTint="33"/>
      </w:tcPr>
    </w:tblStylePr>
    <w:tblStylePr w:type="band1Horz">
      <w:tblPr/>
      <w:tcPr>
        <w:shd w:val="clear" w:color="auto" w:fill="E3F2F6" w:themeFill="accent1" w:themeFillTint="33"/>
      </w:tcPr>
    </w:tblStylePr>
  </w:style>
  <w:style w:type="table" w:styleId="ListTable4-Accent2">
    <w:name w:val="List Table 4 Accent 2"/>
    <w:basedOn w:val="TableNormal"/>
    <w:uiPriority w:val="49"/>
    <w:rsid w:val="00FA3DDD"/>
    <w:pPr>
      <w:spacing w:after="0" w:line="240" w:lineRule="auto"/>
    </w:pPr>
    <w:tblPr>
      <w:tblStyleRowBandSize w:val="1"/>
      <w:tblStyleColBandSize w:val="1"/>
      <w:tblBorders>
        <w:top w:val="single" w:sz="4" w:space="0" w:color="F0E6B1" w:themeColor="accent2" w:themeTint="99"/>
        <w:left w:val="single" w:sz="4" w:space="0" w:color="F0E6B1" w:themeColor="accent2" w:themeTint="99"/>
        <w:bottom w:val="single" w:sz="4" w:space="0" w:color="F0E6B1" w:themeColor="accent2" w:themeTint="99"/>
        <w:right w:val="single" w:sz="4" w:space="0" w:color="F0E6B1" w:themeColor="accent2" w:themeTint="99"/>
        <w:insideH w:val="single" w:sz="4" w:space="0" w:color="F0E6B1" w:themeColor="accent2" w:themeTint="99"/>
      </w:tblBorders>
    </w:tblPr>
    <w:tblStylePr w:type="firstRow">
      <w:rPr>
        <w:b/>
        <w:bCs/>
        <w:color w:val="FFFFFF" w:themeColor="background1"/>
      </w:rPr>
      <w:tblPr/>
      <w:tcPr>
        <w:tcBorders>
          <w:top w:val="single" w:sz="4" w:space="0" w:color="E6D67D" w:themeColor="accent2"/>
          <w:left w:val="single" w:sz="4" w:space="0" w:color="E6D67D" w:themeColor="accent2"/>
          <w:bottom w:val="single" w:sz="4" w:space="0" w:color="E6D67D" w:themeColor="accent2"/>
          <w:right w:val="single" w:sz="4" w:space="0" w:color="E6D67D" w:themeColor="accent2"/>
          <w:insideH w:val="nil"/>
        </w:tcBorders>
        <w:shd w:val="clear" w:color="auto" w:fill="E6D67D" w:themeFill="accent2"/>
      </w:tcPr>
    </w:tblStylePr>
    <w:tblStylePr w:type="lastRow">
      <w:rPr>
        <w:b/>
        <w:bCs/>
      </w:rPr>
      <w:tblPr/>
      <w:tcPr>
        <w:tcBorders>
          <w:top w:val="double" w:sz="4" w:space="0" w:color="F0E6B1" w:themeColor="accent2" w:themeTint="99"/>
        </w:tcBorders>
      </w:tcPr>
    </w:tblStylePr>
    <w:tblStylePr w:type="firstCol">
      <w:rPr>
        <w:b/>
        <w:bCs/>
      </w:rPr>
    </w:tblStylePr>
    <w:tblStylePr w:type="lastCol">
      <w:rPr>
        <w:b/>
        <w:bCs/>
      </w:rPr>
    </w:tblStylePr>
    <w:tblStylePr w:type="band1Vert">
      <w:tblPr/>
      <w:tcPr>
        <w:shd w:val="clear" w:color="auto" w:fill="FAF6E5" w:themeFill="accent2" w:themeFillTint="33"/>
      </w:tcPr>
    </w:tblStylePr>
    <w:tblStylePr w:type="band1Horz">
      <w:tblPr/>
      <w:tcPr>
        <w:shd w:val="clear" w:color="auto" w:fill="FAF6E5" w:themeFill="accent2" w:themeFillTint="33"/>
      </w:tcPr>
    </w:tblStylePr>
  </w:style>
  <w:style w:type="table" w:styleId="ListTable4-Accent3">
    <w:name w:val="List Table 4 Accent 3"/>
    <w:basedOn w:val="TableNormal"/>
    <w:uiPriority w:val="49"/>
    <w:rsid w:val="00FA3DDD"/>
    <w:pPr>
      <w:spacing w:after="0" w:line="240" w:lineRule="auto"/>
    </w:pPr>
    <w:tblPr>
      <w:tblStyleRowBandSize w:val="1"/>
      <w:tblStyleColBandSize w:val="1"/>
      <w:tblBorders>
        <w:top w:val="single" w:sz="4" w:space="0" w:color="C8D5DE" w:themeColor="accent3" w:themeTint="99"/>
        <w:left w:val="single" w:sz="4" w:space="0" w:color="C8D5DE" w:themeColor="accent3" w:themeTint="99"/>
        <w:bottom w:val="single" w:sz="4" w:space="0" w:color="C8D5DE" w:themeColor="accent3" w:themeTint="99"/>
        <w:right w:val="single" w:sz="4" w:space="0" w:color="C8D5DE" w:themeColor="accent3" w:themeTint="99"/>
        <w:insideH w:val="single" w:sz="4" w:space="0" w:color="C8D5DE" w:themeColor="accent3" w:themeTint="99"/>
      </w:tblBorders>
    </w:tblPr>
    <w:tblStylePr w:type="firstRow">
      <w:rPr>
        <w:b/>
        <w:bCs/>
        <w:color w:val="FFFFFF" w:themeColor="background1"/>
      </w:rPr>
      <w:tblPr/>
      <w:tcPr>
        <w:tcBorders>
          <w:top w:val="single" w:sz="4" w:space="0" w:color="A5BAC9" w:themeColor="accent3"/>
          <w:left w:val="single" w:sz="4" w:space="0" w:color="A5BAC9" w:themeColor="accent3"/>
          <w:bottom w:val="single" w:sz="4" w:space="0" w:color="A5BAC9" w:themeColor="accent3"/>
          <w:right w:val="single" w:sz="4" w:space="0" w:color="A5BAC9" w:themeColor="accent3"/>
          <w:insideH w:val="nil"/>
        </w:tcBorders>
        <w:shd w:val="clear" w:color="auto" w:fill="A5BAC9" w:themeFill="accent3"/>
      </w:tcPr>
    </w:tblStylePr>
    <w:tblStylePr w:type="lastRow">
      <w:rPr>
        <w:b/>
        <w:bCs/>
      </w:rPr>
      <w:tblPr/>
      <w:tcPr>
        <w:tcBorders>
          <w:top w:val="double" w:sz="4" w:space="0" w:color="C8D5DE" w:themeColor="accent3" w:themeTint="99"/>
        </w:tcBorders>
      </w:tcPr>
    </w:tblStylePr>
    <w:tblStylePr w:type="firstCol">
      <w:rPr>
        <w:b/>
        <w:bCs/>
      </w:rPr>
    </w:tblStylePr>
    <w:tblStylePr w:type="lastCol">
      <w:rPr>
        <w:b/>
        <w:bCs/>
      </w:rPr>
    </w:tblStylePr>
    <w:tblStylePr w:type="band1Vert">
      <w:tblPr/>
      <w:tcPr>
        <w:shd w:val="clear" w:color="auto" w:fill="ECF1F4" w:themeFill="accent3" w:themeFillTint="33"/>
      </w:tcPr>
    </w:tblStylePr>
    <w:tblStylePr w:type="band1Horz">
      <w:tblPr/>
      <w:tcPr>
        <w:shd w:val="clear" w:color="auto" w:fill="ECF1F4" w:themeFill="accent3" w:themeFillTint="33"/>
      </w:tcPr>
    </w:tblStylePr>
  </w:style>
  <w:style w:type="table" w:styleId="ListTable4-Accent4">
    <w:name w:val="List Table 4 Accent 4"/>
    <w:basedOn w:val="TableNormal"/>
    <w:uiPriority w:val="49"/>
    <w:rsid w:val="00FA3DDD"/>
    <w:pPr>
      <w:spacing w:after="0" w:line="240" w:lineRule="auto"/>
    </w:pPr>
    <w:tblPr>
      <w:tblStyleRowBandSize w:val="1"/>
      <w:tblStyleColBandSize w:val="1"/>
      <w:tblBorders>
        <w:top w:val="single" w:sz="4" w:space="0" w:color="0FCDFF" w:themeColor="accent4" w:themeTint="99"/>
        <w:left w:val="single" w:sz="4" w:space="0" w:color="0FCDFF" w:themeColor="accent4" w:themeTint="99"/>
        <w:bottom w:val="single" w:sz="4" w:space="0" w:color="0FCDFF" w:themeColor="accent4" w:themeTint="99"/>
        <w:right w:val="single" w:sz="4" w:space="0" w:color="0FCDFF" w:themeColor="accent4" w:themeTint="99"/>
        <w:insideH w:val="single" w:sz="4" w:space="0" w:color="0FCDFF" w:themeColor="accent4" w:themeTint="99"/>
      </w:tblBorders>
    </w:tblPr>
    <w:tblStylePr w:type="firstRow">
      <w:rPr>
        <w:b/>
        <w:bCs/>
        <w:color w:val="FFFFFF" w:themeColor="background1"/>
      </w:rPr>
      <w:tblPr/>
      <w:tcPr>
        <w:tcBorders>
          <w:top w:val="single" w:sz="4" w:space="0" w:color="00586F" w:themeColor="accent4"/>
          <w:left w:val="single" w:sz="4" w:space="0" w:color="00586F" w:themeColor="accent4"/>
          <w:bottom w:val="single" w:sz="4" w:space="0" w:color="00586F" w:themeColor="accent4"/>
          <w:right w:val="single" w:sz="4" w:space="0" w:color="00586F" w:themeColor="accent4"/>
          <w:insideH w:val="nil"/>
        </w:tcBorders>
        <w:shd w:val="clear" w:color="auto" w:fill="00586F" w:themeFill="accent4"/>
      </w:tcPr>
    </w:tblStylePr>
    <w:tblStylePr w:type="lastRow">
      <w:rPr>
        <w:b/>
        <w:bCs/>
      </w:rPr>
      <w:tblPr/>
      <w:tcPr>
        <w:tcBorders>
          <w:top w:val="double" w:sz="4" w:space="0" w:color="0FCDFF" w:themeColor="accent4" w:themeTint="99"/>
        </w:tcBorders>
      </w:tcPr>
    </w:tblStylePr>
    <w:tblStylePr w:type="firstCol">
      <w:rPr>
        <w:b/>
        <w:bCs/>
      </w:rPr>
    </w:tblStylePr>
    <w:tblStylePr w:type="lastCol">
      <w:rPr>
        <w:b/>
        <w:bCs/>
      </w:rPr>
    </w:tblStylePr>
    <w:tblStylePr w:type="band1Vert">
      <w:tblPr/>
      <w:tcPr>
        <w:shd w:val="clear" w:color="auto" w:fill="AFEEFF" w:themeFill="accent4" w:themeFillTint="33"/>
      </w:tcPr>
    </w:tblStylePr>
    <w:tblStylePr w:type="band1Horz">
      <w:tblPr/>
      <w:tcPr>
        <w:shd w:val="clear" w:color="auto" w:fill="AFEEFF" w:themeFill="accent4" w:themeFillTint="33"/>
      </w:tcPr>
    </w:tblStylePr>
  </w:style>
  <w:style w:type="paragraph" w:customStyle="1" w:styleId="DateStyle">
    <w:name w:val="Date Style"/>
    <w:basedOn w:val="Normal"/>
    <w:link w:val="DateStyleChar"/>
    <w:qFormat/>
    <w:rsid w:val="002C3EF1"/>
    <w:rPr>
      <w:i/>
      <w:iCs/>
      <w:color w:val="00586F" w:themeColor="text2"/>
    </w:rPr>
  </w:style>
  <w:style w:type="character" w:customStyle="1" w:styleId="DateStyleChar">
    <w:name w:val="Date Style Char"/>
    <w:basedOn w:val="DefaultParagraphFont"/>
    <w:link w:val="DateStyle"/>
    <w:rsid w:val="002C3EF1"/>
    <w:rPr>
      <w:rFonts w:ascii="Arial" w:hAnsi="Arial" w:cs="Arial"/>
      <w:i/>
      <w:iCs/>
      <w:color w:val="00586F" w:themeColor="text2"/>
    </w:rPr>
  </w:style>
  <w:style w:type="character" w:styleId="Hyperlink">
    <w:name w:val="Hyperlink"/>
    <w:basedOn w:val="DefaultParagraphFont"/>
    <w:uiPriority w:val="99"/>
    <w:unhideWhenUsed/>
    <w:rsid w:val="007733CB"/>
    <w:rPr>
      <w:color w:val="00586F" w:themeColor="hyperlink"/>
      <w:u w:val="single"/>
    </w:rPr>
  </w:style>
  <w:style w:type="character" w:styleId="UnresolvedMention">
    <w:name w:val="Unresolved Mention"/>
    <w:basedOn w:val="DefaultParagraphFont"/>
    <w:uiPriority w:val="99"/>
    <w:semiHidden/>
    <w:unhideWhenUsed/>
    <w:rsid w:val="007733CB"/>
    <w:rPr>
      <w:color w:val="605E5C"/>
      <w:shd w:val="clear" w:color="auto" w:fill="E1DFDD"/>
    </w:rPr>
  </w:style>
  <w:style w:type="character" w:styleId="FollowedHyperlink">
    <w:name w:val="FollowedHyperlink"/>
    <w:basedOn w:val="DefaultParagraphFont"/>
    <w:uiPriority w:val="99"/>
    <w:semiHidden/>
    <w:unhideWhenUsed/>
    <w:rsid w:val="007733CB"/>
    <w:rPr>
      <w:color w:val="002C3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B:\Human%20Resources\Human%20Resources\Shared%20HR\Branding\COR_ADA_Letterhead_2026.dotx" TargetMode="External"/></Relationships>
</file>

<file path=word/theme/theme1.xml><?xml version="1.0" encoding="utf-8"?>
<a:theme xmlns:a="http://schemas.openxmlformats.org/drawingml/2006/main" name="Office Theme">
  <a:themeElements>
    <a:clrScheme name="City of Rochester, MN 2026">
      <a:dk1>
        <a:sysClr val="windowText" lastClr="000000"/>
      </a:dk1>
      <a:lt1>
        <a:sysClr val="window" lastClr="FFFFFF"/>
      </a:lt1>
      <a:dk2>
        <a:srgbClr val="00586F"/>
      </a:dk2>
      <a:lt2>
        <a:srgbClr val="FFFFFF"/>
      </a:lt2>
      <a:accent1>
        <a:srgbClr val="74C3D5"/>
      </a:accent1>
      <a:accent2>
        <a:srgbClr val="E6D67D"/>
      </a:accent2>
      <a:accent3>
        <a:srgbClr val="A5BAC9"/>
      </a:accent3>
      <a:accent4>
        <a:srgbClr val="00586F"/>
      </a:accent4>
      <a:accent5>
        <a:srgbClr val="833177"/>
      </a:accent5>
      <a:accent6>
        <a:srgbClr val="FF585D"/>
      </a:accent6>
      <a:hlink>
        <a:srgbClr val="00586F"/>
      </a:hlink>
      <a:folHlink>
        <a:srgbClr val="002C37"/>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5ba81e-b52a-4070-89e4-3c76d5140eea">
      <Terms xmlns="http://schemas.microsoft.com/office/infopath/2007/PartnerControls"/>
    </lcf76f155ced4ddcb4097134ff3c332f>
    <TaxCatchAll xmlns="98a9d63a-ee02-4af2-88cc-b2e411489690" xsi:nil="true"/>
    <SharedWithUsers xmlns="98a9d63a-ee02-4af2-88cc-b2e41148969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FA81E0DAFC3E409C45ABC66D150D19" ma:contentTypeVersion="15" ma:contentTypeDescription="Create a new document." ma:contentTypeScope="" ma:versionID="411d12fa99f2b1172a965cc2467bb85c">
  <xsd:schema xmlns:xsd="http://www.w3.org/2001/XMLSchema" xmlns:xs="http://www.w3.org/2001/XMLSchema" xmlns:p="http://schemas.microsoft.com/office/2006/metadata/properties" xmlns:ns2="98a9d63a-ee02-4af2-88cc-b2e411489690" xmlns:ns3="b55ba81e-b52a-4070-89e4-3c76d5140eea" targetNamespace="http://schemas.microsoft.com/office/2006/metadata/properties" ma:root="true" ma:fieldsID="2d26fd0f7a97f8b70bc783376adf07ef" ns2:_="" ns3:_="">
    <xsd:import namespace="98a9d63a-ee02-4af2-88cc-b2e411489690"/>
    <xsd:import namespace="b55ba81e-b52a-4070-89e4-3c76d5140e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9d63a-ee02-4af2-88cc-b2e4114896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4257461-18a3-4866-9f6d-e42c0ddc16c2}" ma:internalName="TaxCatchAll" ma:showField="CatchAllData" ma:web="98a9d63a-ee02-4af2-88cc-b2e4114896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5ba81e-b52a-4070-89e4-3c76d5140e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b57f31b-2571-4296-aa43-87d39cc4fc1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54310-240B-EC45-B4D9-1D56BB94E23F}">
  <ds:schemaRefs>
    <ds:schemaRef ds:uri="http://schemas.openxmlformats.org/officeDocument/2006/bibliography"/>
  </ds:schemaRefs>
</ds:datastoreItem>
</file>

<file path=customXml/itemProps2.xml><?xml version="1.0" encoding="utf-8"?>
<ds:datastoreItem xmlns:ds="http://schemas.openxmlformats.org/officeDocument/2006/customXml" ds:itemID="{28946E27-9587-4FA3-A57D-51F9EC41C5B9}">
  <ds:schemaRefs>
    <ds:schemaRef ds:uri="http://schemas.microsoft.com/office/2006/metadata/properties"/>
    <ds:schemaRef ds:uri="http://schemas.microsoft.com/office/infopath/2007/PartnerControls"/>
    <ds:schemaRef ds:uri="b55ba81e-b52a-4070-89e4-3c76d5140eea"/>
    <ds:schemaRef ds:uri="98a9d63a-ee02-4af2-88cc-b2e411489690"/>
  </ds:schemaRefs>
</ds:datastoreItem>
</file>

<file path=customXml/itemProps3.xml><?xml version="1.0" encoding="utf-8"?>
<ds:datastoreItem xmlns:ds="http://schemas.openxmlformats.org/officeDocument/2006/customXml" ds:itemID="{96D0ECAC-49DC-4727-A41F-9E50E1C4D3AE}">
  <ds:schemaRefs>
    <ds:schemaRef ds:uri="http://schemas.microsoft.com/sharepoint/v3/contenttype/forms"/>
  </ds:schemaRefs>
</ds:datastoreItem>
</file>

<file path=customXml/itemProps4.xml><?xml version="1.0" encoding="utf-8"?>
<ds:datastoreItem xmlns:ds="http://schemas.openxmlformats.org/officeDocument/2006/customXml" ds:itemID="{FDB85B83-4EBA-432C-B36C-7EAECAC8B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9d63a-ee02-4af2-88cc-b2e411489690"/>
    <ds:schemaRef ds:uri="b55ba81e-b52a-4070-89e4-3c76d5140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COR_ADA_Letterhead_2026.dotx</Template>
  <TotalTime>1</TotalTime>
  <Pages>8</Pages>
  <Words>3780</Words>
  <Characters>19700</Characters>
  <Application>Microsoft Office Word</Application>
  <DocSecurity>4</DocSecurity>
  <Lines>410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Cloutier</dc:creator>
  <cp:keywords/>
  <dc:description/>
  <cp:lastModifiedBy>Danielle Cloutier</cp:lastModifiedBy>
  <cp:revision>2</cp:revision>
  <dcterms:created xsi:type="dcterms:W3CDTF">2026-04-08T18:04:00Z</dcterms:created>
  <dcterms:modified xsi:type="dcterms:W3CDTF">2026-04-08T18:04:00Z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7ee07507-fddd-492e-8ebe-edbde2f1b2c5</vt:lpwstr>
  </property>
  <property fmtid="{D5CDD505-2E9C-101B-9397-08002B2CF9AE}" pid="3" name="ContentTypeId">
    <vt:lpwstr>0x01010040FA81E0DAFC3E409C45ABC66D150D19</vt:lpwstr>
  </property>
  <property fmtid="{D5CDD505-2E9C-101B-9397-08002B2CF9AE}" pid="4" name="Order">
    <vt:r8>401600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ies>
</file>