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433630FA" w:rsidR="00A7445F" w:rsidRPr="00C85759" w:rsidRDefault="00D321D2" w:rsidP="008C0220">
      <w:pPr>
        <w:pStyle w:val="Title"/>
        <w:jc w:val="center"/>
        <w:rPr>
          <w:i/>
          <w:iCs/>
          <w:sz w:val="28"/>
        </w:rPr>
      </w:pPr>
      <w:r>
        <w:rPr>
          <w:sz w:val="48"/>
          <w:szCs w:val="48"/>
        </w:rPr>
        <w:t>Volunteer(s)</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1676B">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671477D3" w14:textId="64C1E0C5" w:rsidR="00D321D2" w:rsidRPr="00D321D2" w:rsidRDefault="00D321D2" w:rsidP="00D321D2">
      <w:pPr>
        <w:rPr>
          <w:sz w:val="22"/>
          <w:szCs w:val="22"/>
        </w:rPr>
      </w:pPr>
      <w:r w:rsidRPr="00D321D2">
        <w:rPr>
          <w:sz w:val="22"/>
          <w:szCs w:val="22"/>
        </w:rPr>
        <w:t>The City of Rochester recognizes the vital role volunteers play to enhance City services, programs, and community outreach. This policy provides a consistent and structured approach to how volunteers are selected, managed, and supported in alignment with the City's mission to deliver high-quality services to all residents.</w:t>
      </w:r>
    </w:p>
    <w:p w14:paraId="1745C9F9" w14:textId="77777777" w:rsidR="00D321D2" w:rsidRPr="00D321D2" w:rsidRDefault="00D321D2" w:rsidP="00D321D2">
      <w:pPr>
        <w:jc w:val="both"/>
        <w:rPr>
          <w:sz w:val="22"/>
          <w:szCs w:val="22"/>
        </w:rPr>
      </w:pPr>
      <w:r w:rsidRPr="00D321D2">
        <w:rPr>
          <w:sz w:val="22"/>
          <w:szCs w:val="22"/>
        </w:rPr>
        <w:t>Nothing stated in this policy creates an employment contract between the City of Rochester and its volunteers.</w:t>
      </w:r>
    </w:p>
    <w:p w14:paraId="5E307D96" w14:textId="075951DF" w:rsidR="00706417" w:rsidRPr="007A0EA6" w:rsidRDefault="00D321D2" w:rsidP="0031676B">
      <w:pPr>
        <w:pStyle w:val="Heading1"/>
        <w:spacing w:line="240" w:lineRule="auto"/>
        <w:rPr>
          <w:rStyle w:val="SubtleEmphasis"/>
          <w:i w:val="0"/>
          <w:iCs w:val="0"/>
          <w:color w:val="00586F" w:themeColor="text2"/>
          <w:sz w:val="36"/>
          <w:szCs w:val="36"/>
        </w:rPr>
      </w:pPr>
      <w:r>
        <w:rPr>
          <w:rStyle w:val="SubtleEmphasis"/>
          <w:i w:val="0"/>
          <w:iCs w:val="0"/>
          <w:color w:val="00586F" w:themeColor="text2"/>
          <w:sz w:val="36"/>
          <w:szCs w:val="36"/>
        </w:rPr>
        <w:t>Definition of Volunteer</w:t>
      </w:r>
    </w:p>
    <w:p w14:paraId="27D6C64F" w14:textId="77777777" w:rsidR="00D321D2" w:rsidRPr="00D321D2" w:rsidRDefault="00D321D2" w:rsidP="00D321D2">
      <w:pPr>
        <w:rPr>
          <w:sz w:val="22"/>
          <w:szCs w:val="22"/>
        </w:rPr>
      </w:pPr>
      <w:r w:rsidRPr="00D321D2">
        <w:rPr>
          <w:sz w:val="22"/>
          <w:szCs w:val="22"/>
        </w:rPr>
        <w:t xml:space="preserve">A </w:t>
      </w:r>
      <w:r w:rsidRPr="00D321D2">
        <w:rPr>
          <w:b/>
          <w:bCs/>
          <w:sz w:val="22"/>
          <w:szCs w:val="22"/>
        </w:rPr>
        <w:t>volunteer</w:t>
      </w:r>
      <w:r w:rsidRPr="00D321D2">
        <w:rPr>
          <w:sz w:val="22"/>
          <w:szCs w:val="22"/>
        </w:rPr>
        <w:t xml:space="preserve"> is an individual who freely offers time and services to the City of Rochester without expectation or receipt of compensation, benefits or future employment. Compensation includes payment, mileage reimbursement, gifts, or benefits in lieu of payment. </w:t>
      </w:r>
    </w:p>
    <w:p w14:paraId="2F740137" w14:textId="255771E1" w:rsidR="00231133" w:rsidRPr="007A0EA6" w:rsidRDefault="00D321D2" w:rsidP="0031676B">
      <w:pPr>
        <w:pStyle w:val="Heading1"/>
        <w:spacing w:line="240" w:lineRule="auto"/>
        <w:rPr>
          <w:sz w:val="36"/>
          <w:szCs w:val="36"/>
        </w:rPr>
      </w:pPr>
      <w:r>
        <w:rPr>
          <w:sz w:val="36"/>
          <w:szCs w:val="36"/>
        </w:rPr>
        <w:t>Scope</w:t>
      </w:r>
    </w:p>
    <w:p w14:paraId="65C33AB2" w14:textId="77777777" w:rsidR="00D321D2" w:rsidRPr="00D321D2" w:rsidRDefault="00D321D2" w:rsidP="00D321D2">
      <w:pPr>
        <w:spacing w:after="160"/>
        <w:rPr>
          <w:rFonts w:eastAsia="Calibri"/>
          <w:sz w:val="22"/>
          <w:szCs w:val="22"/>
        </w:rPr>
      </w:pPr>
      <w:r w:rsidRPr="00D321D2">
        <w:rPr>
          <w:rFonts w:eastAsia="Calibri"/>
          <w:sz w:val="22"/>
          <w:szCs w:val="22"/>
        </w:rPr>
        <w:t>This policy applies to all individuals serving in an unpaid volunteer capacity for the benefit of the City of Rochester. This includes volunteers, administrative helpers, park stewards, and other approved volunteer roles. Consult with HR regarding approved volunteer roles.</w:t>
      </w:r>
    </w:p>
    <w:p w14:paraId="0DAF9A28" w14:textId="77777777" w:rsidR="00D321D2" w:rsidRPr="00D321D2" w:rsidRDefault="00D321D2" w:rsidP="00D321D2">
      <w:pPr>
        <w:spacing w:after="160"/>
        <w:rPr>
          <w:rFonts w:eastAsia="Calibri"/>
          <w:sz w:val="22"/>
          <w:szCs w:val="22"/>
        </w:rPr>
      </w:pPr>
      <w:r w:rsidRPr="00D321D2">
        <w:rPr>
          <w:rFonts w:eastAsia="Calibri"/>
          <w:sz w:val="22"/>
          <w:szCs w:val="22"/>
        </w:rPr>
        <w:t>Other City of Rochester Departments may have other volunteer processes. However, these departmental processes must not conflict with this policy.</w:t>
      </w:r>
    </w:p>
    <w:p w14:paraId="45AAD9A6" w14:textId="5BA7D383" w:rsidR="00231133" w:rsidRPr="007A0EA6" w:rsidRDefault="00D321D2" w:rsidP="0031676B">
      <w:pPr>
        <w:pStyle w:val="Heading1"/>
        <w:spacing w:line="240" w:lineRule="auto"/>
        <w:rPr>
          <w:sz w:val="36"/>
          <w:szCs w:val="36"/>
        </w:rPr>
      </w:pPr>
      <w:r>
        <w:rPr>
          <w:sz w:val="36"/>
          <w:szCs w:val="36"/>
        </w:rPr>
        <w:t xml:space="preserve">Eligibility </w:t>
      </w:r>
    </w:p>
    <w:p w14:paraId="175D3D2D" w14:textId="77777777" w:rsidR="00D321D2" w:rsidRPr="00D321D2" w:rsidRDefault="00D321D2" w:rsidP="00D321D2">
      <w:pPr>
        <w:rPr>
          <w:sz w:val="22"/>
          <w:szCs w:val="22"/>
        </w:rPr>
      </w:pPr>
      <w:r w:rsidRPr="00D321D2">
        <w:rPr>
          <w:sz w:val="22"/>
          <w:szCs w:val="22"/>
        </w:rPr>
        <w:t>Volunteers must:</w:t>
      </w:r>
    </w:p>
    <w:p w14:paraId="6F009666" w14:textId="77777777" w:rsidR="00D321D2" w:rsidRPr="00D321D2" w:rsidRDefault="00D321D2" w:rsidP="00D321D2">
      <w:pPr>
        <w:pStyle w:val="ListParagraph"/>
        <w:numPr>
          <w:ilvl w:val="0"/>
          <w:numId w:val="12"/>
        </w:numPr>
        <w:spacing w:after="0" w:line="240" w:lineRule="auto"/>
        <w:rPr>
          <w:sz w:val="22"/>
          <w:szCs w:val="22"/>
        </w:rPr>
      </w:pPr>
      <w:r w:rsidRPr="00D321D2">
        <w:rPr>
          <w:sz w:val="22"/>
          <w:szCs w:val="22"/>
        </w:rPr>
        <w:t>Be at least 18 years of age (or at least 13 years old with parental consent).</w:t>
      </w:r>
    </w:p>
    <w:p w14:paraId="0496C9F5" w14:textId="77777777" w:rsidR="00D321D2" w:rsidRPr="00D321D2" w:rsidRDefault="00D321D2" w:rsidP="00D321D2">
      <w:pPr>
        <w:pStyle w:val="ListParagraph"/>
        <w:numPr>
          <w:ilvl w:val="0"/>
          <w:numId w:val="12"/>
        </w:numPr>
        <w:spacing w:after="0" w:line="240" w:lineRule="auto"/>
        <w:rPr>
          <w:sz w:val="22"/>
          <w:szCs w:val="22"/>
        </w:rPr>
      </w:pPr>
      <w:r w:rsidRPr="00D321D2">
        <w:rPr>
          <w:sz w:val="22"/>
          <w:szCs w:val="22"/>
        </w:rPr>
        <w:t>Submit a Volunteer Application when applicable.</w:t>
      </w:r>
    </w:p>
    <w:p w14:paraId="27CE7C12" w14:textId="77777777" w:rsidR="00D321D2" w:rsidRPr="00D321D2" w:rsidRDefault="00D321D2" w:rsidP="00D321D2">
      <w:pPr>
        <w:pStyle w:val="ListParagraph"/>
        <w:numPr>
          <w:ilvl w:val="0"/>
          <w:numId w:val="12"/>
        </w:numPr>
        <w:spacing w:after="0" w:line="240" w:lineRule="auto"/>
        <w:rPr>
          <w:sz w:val="22"/>
          <w:szCs w:val="22"/>
        </w:rPr>
      </w:pPr>
      <w:r w:rsidRPr="00D321D2">
        <w:rPr>
          <w:sz w:val="22"/>
          <w:szCs w:val="22"/>
        </w:rPr>
        <w:t xml:space="preserve">Pass applicable background checks, including criminal. </w:t>
      </w:r>
    </w:p>
    <w:p w14:paraId="377A7DA1" w14:textId="77777777" w:rsidR="00D321D2" w:rsidRPr="00D321D2" w:rsidRDefault="00D321D2" w:rsidP="00D321D2">
      <w:pPr>
        <w:pStyle w:val="ListParagraph"/>
        <w:numPr>
          <w:ilvl w:val="0"/>
          <w:numId w:val="12"/>
        </w:numPr>
        <w:spacing w:after="0" w:line="240" w:lineRule="auto"/>
        <w:rPr>
          <w:sz w:val="22"/>
          <w:szCs w:val="22"/>
        </w:rPr>
      </w:pPr>
      <w:r w:rsidRPr="00D321D2">
        <w:rPr>
          <w:sz w:val="22"/>
          <w:szCs w:val="22"/>
        </w:rPr>
        <w:t>Sign the Volunteer Acknowledgement and Volunteer Policy Forms</w:t>
      </w:r>
    </w:p>
    <w:p w14:paraId="71326114" w14:textId="19E037EB" w:rsidR="00D321D2" w:rsidRPr="00D321D2" w:rsidRDefault="00D321D2" w:rsidP="00D321D2">
      <w:pPr>
        <w:rPr>
          <w:sz w:val="22"/>
          <w:szCs w:val="22"/>
        </w:rPr>
      </w:pPr>
      <w:r w:rsidRPr="00D321D2">
        <w:rPr>
          <w:sz w:val="22"/>
          <w:szCs w:val="22"/>
        </w:rPr>
        <w:br/>
        <w:t xml:space="preserve">Volunteers are </w:t>
      </w:r>
      <w:r w:rsidRPr="00D321D2">
        <w:rPr>
          <w:b/>
          <w:bCs/>
          <w:sz w:val="22"/>
          <w:szCs w:val="22"/>
        </w:rPr>
        <w:t>not employees</w:t>
      </w:r>
      <w:r w:rsidRPr="00D321D2">
        <w:rPr>
          <w:sz w:val="22"/>
          <w:szCs w:val="22"/>
        </w:rPr>
        <w:t xml:space="preserve"> of the City for any purpose under state or federal law, including wage and hour, unemployment, and workers’ compensation laws (in accordance with FLSA regulations).</w:t>
      </w:r>
    </w:p>
    <w:p w14:paraId="34C32311" w14:textId="77777777" w:rsidR="00D321D2" w:rsidRPr="00D321D2" w:rsidRDefault="00D321D2" w:rsidP="00D321D2">
      <w:pPr>
        <w:rPr>
          <w:sz w:val="22"/>
          <w:szCs w:val="22"/>
        </w:rPr>
      </w:pPr>
      <w:r w:rsidRPr="00D321D2">
        <w:rPr>
          <w:sz w:val="22"/>
          <w:szCs w:val="22"/>
        </w:rPr>
        <w:t>Volunteers are not eligible for workers’ compensation benefits.</w:t>
      </w:r>
    </w:p>
    <w:p w14:paraId="4F89DD80" w14:textId="04EDBC68" w:rsidR="00231133" w:rsidRPr="007A0EA6" w:rsidRDefault="00D321D2" w:rsidP="0031676B">
      <w:pPr>
        <w:pStyle w:val="Heading1"/>
        <w:spacing w:line="240" w:lineRule="auto"/>
        <w:rPr>
          <w:sz w:val="36"/>
          <w:szCs w:val="36"/>
        </w:rPr>
      </w:pPr>
      <w:r>
        <w:rPr>
          <w:sz w:val="36"/>
          <w:szCs w:val="36"/>
        </w:rPr>
        <w:lastRenderedPageBreak/>
        <w:t>Supervision and Training</w:t>
      </w:r>
    </w:p>
    <w:p w14:paraId="109F17B2" w14:textId="633229A8" w:rsidR="00231133" w:rsidRPr="00D321D2" w:rsidRDefault="00D321D2" w:rsidP="0031676B">
      <w:pPr>
        <w:spacing w:line="240" w:lineRule="auto"/>
        <w:rPr>
          <w:sz w:val="22"/>
          <w:szCs w:val="22"/>
        </w:rPr>
      </w:pPr>
      <w:r w:rsidRPr="00D321D2">
        <w:rPr>
          <w:rFonts w:eastAsia="Calibri"/>
          <w:sz w:val="22"/>
          <w:szCs w:val="22"/>
        </w:rPr>
        <w:t>Each department is responsible for designating staff to manage and supervise</w:t>
      </w:r>
      <w:r w:rsidRPr="00D321D2">
        <w:rPr>
          <w:rFonts w:eastAsia="Calibri"/>
          <w:sz w:val="22"/>
          <w:szCs w:val="22"/>
        </w:rPr>
        <w:br/>
        <w:t>volunteers. Volunteers must attend all required training or orientation sessions before performing assigned tasks</w:t>
      </w:r>
      <w:r w:rsidR="00231133" w:rsidRPr="00D321D2">
        <w:rPr>
          <w:sz w:val="22"/>
          <w:szCs w:val="22"/>
        </w:rPr>
        <w:t>.</w:t>
      </w:r>
    </w:p>
    <w:p w14:paraId="5D0973F6" w14:textId="3E2C2739" w:rsidR="00231133" w:rsidRPr="007A0EA6" w:rsidRDefault="00D321D2" w:rsidP="0031676B">
      <w:pPr>
        <w:pStyle w:val="Heading1"/>
        <w:spacing w:line="240" w:lineRule="auto"/>
        <w:rPr>
          <w:sz w:val="36"/>
          <w:szCs w:val="36"/>
        </w:rPr>
      </w:pPr>
      <w:r>
        <w:rPr>
          <w:sz w:val="36"/>
          <w:szCs w:val="36"/>
        </w:rPr>
        <w:t>Use of City Vehicles and Equipment</w:t>
      </w:r>
    </w:p>
    <w:p w14:paraId="5E22A11E" w14:textId="77777777" w:rsidR="00D321D2" w:rsidRPr="00D321D2" w:rsidRDefault="00D321D2" w:rsidP="0031676B">
      <w:pPr>
        <w:pStyle w:val="Heading1"/>
        <w:spacing w:line="240" w:lineRule="auto"/>
        <w:rPr>
          <w:rFonts w:eastAsia="Calibri"/>
          <w:color w:val="auto"/>
          <w:kern w:val="0"/>
          <w:sz w:val="22"/>
          <w:szCs w:val="22"/>
          <w14:ligatures w14:val="none"/>
        </w:rPr>
      </w:pPr>
      <w:r w:rsidRPr="00D321D2">
        <w:rPr>
          <w:rFonts w:eastAsia="Calibri"/>
          <w:b w:val="0"/>
          <w:bCs w:val="0"/>
          <w:color w:val="auto"/>
          <w:kern w:val="0"/>
          <w:sz w:val="22"/>
          <w:szCs w:val="22"/>
          <w14:ligatures w14:val="none"/>
        </w:rPr>
        <w:t xml:space="preserve">Volunteers are </w:t>
      </w:r>
      <w:r w:rsidRPr="00D321D2">
        <w:rPr>
          <w:rFonts w:eastAsia="Calibri"/>
          <w:color w:val="auto"/>
          <w:kern w:val="0"/>
          <w:sz w:val="22"/>
          <w:szCs w:val="22"/>
          <w14:ligatures w14:val="none"/>
        </w:rPr>
        <w:t>prohibited from operating City-owned vehicles and equipment</w:t>
      </w:r>
      <w:r w:rsidRPr="00D321D2">
        <w:rPr>
          <w:rFonts w:eastAsia="Calibri"/>
          <w:b w:val="0"/>
          <w:bCs w:val="0"/>
          <w:color w:val="auto"/>
          <w:kern w:val="0"/>
          <w:sz w:val="22"/>
          <w:szCs w:val="22"/>
          <w14:ligatures w14:val="none"/>
        </w:rPr>
        <w:t>, including passenger cars, trucks, power tools, or emergency vehicles.</w:t>
      </w:r>
      <w:r w:rsidRPr="00D321D2">
        <w:rPr>
          <w:rFonts w:eastAsia="Calibri"/>
          <w:color w:val="auto"/>
          <w:kern w:val="0"/>
          <w:sz w:val="22"/>
          <w:szCs w:val="22"/>
          <w14:ligatures w14:val="none"/>
        </w:rPr>
        <w:t xml:space="preserve"> </w:t>
      </w:r>
    </w:p>
    <w:p w14:paraId="7D1D824C" w14:textId="3F74AAF4" w:rsidR="00EC74B9" w:rsidRPr="007A0EA6" w:rsidRDefault="00D321D2" w:rsidP="0031676B">
      <w:pPr>
        <w:pStyle w:val="Heading1"/>
        <w:spacing w:line="240" w:lineRule="auto"/>
        <w:rPr>
          <w:sz w:val="36"/>
          <w:szCs w:val="36"/>
        </w:rPr>
      </w:pPr>
      <w:r>
        <w:rPr>
          <w:sz w:val="36"/>
          <w:szCs w:val="36"/>
        </w:rPr>
        <w:t>Conduct</w:t>
      </w:r>
    </w:p>
    <w:p w14:paraId="4326D66B" w14:textId="77777777" w:rsidR="00D321D2" w:rsidRPr="001E7EF6" w:rsidRDefault="00D321D2" w:rsidP="00D321D2">
      <w:r w:rsidRPr="001E7EF6">
        <w:t xml:space="preserve">Volunteers are expected to maintain a respectful and professional demeanor while volunteering for the City of Rochester. </w:t>
      </w:r>
    </w:p>
    <w:p w14:paraId="600E3B1C" w14:textId="56846DD4" w:rsidR="00EC74B9" w:rsidRPr="007A0EA6" w:rsidRDefault="00D321D2" w:rsidP="0031676B">
      <w:pPr>
        <w:pStyle w:val="Heading1"/>
        <w:spacing w:line="240" w:lineRule="auto"/>
        <w:rPr>
          <w:sz w:val="36"/>
          <w:szCs w:val="36"/>
        </w:rPr>
      </w:pPr>
      <w:r>
        <w:rPr>
          <w:sz w:val="36"/>
          <w:szCs w:val="36"/>
        </w:rPr>
        <w:t>Termination of Service</w:t>
      </w:r>
    </w:p>
    <w:p w14:paraId="06A8CA06" w14:textId="5AD8E452" w:rsidR="000E3A43" w:rsidRPr="000E3A43" w:rsidRDefault="00D321D2" w:rsidP="000E3A43">
      <w:pPr>
        <w:pStyle w:val="Heading1"/>
        <w:spacing w:line="240" w:lineRule="auto"/>
        <w:rPr>
          <w:rFonts w:eastAsiaTheme="minorHAnsi"/>
          <w:b w:val="0"/>
          <w:bCs w:val="0"/>
          <w:color w:val="auto"/>
          <w:sz w:val="22"/>
          <w:szCs w:val="22"/>
        </w:rPr>
      </w:pPr>
      <w:r w:rsidRPr="00D321D2">
        <w:rPr>
          <w:rFonts w:eastAsiaTheme="minorHAnsi"/>
          <w:b w:val="0"/>
          <w:bCs w:val="0"/>
          <w:color w:val="auto"/>
          <w:sz w:val="22"/>
          <w:szCs w:val="22"/>
        </w:rPr>
        <w:t xml:space="preserve">Volunteer service may be terminated at any time by either the </w:t>
      </w:r>
      <w:proofErr w:type="gramStart"/>
      <w:r w:rsidRPr="00D321D2">
        <w:rPr>
          <w:rFonts w:eastAsiaTheme="minorHAnsi"/>
          <w:b w:val="0"/>
          <w:bCs w:val="0"/>
          <w:color w:val="auto"/>
          <w:sz w:val="22"/>
          <w:szCs w:val="22"/>
        </w:rPr>
        <w:t>City</w:t>
      </w:r>
      <w:proofErr w:type="gramEnd"/>
      <w:r w:rsidRPr="00D321D2">
        <w:rPr>
          <w:rFonts w:eastAsiaTheme="minorHAnsi"/>
          <w:b w:val="0"/>
          <w:bCs w:val="0"/>
          <w:color w:val="auto"/>
          <w:sz w:val="22"/>
          <w:szCs w:val="22"/>
        </w:rPr>
        <w:t xml:space="preserve"> or the volunteer with or without cause </w:t>
      </w:r>
    </w:p>
    <w:p w14:paraId="0C61F8DB" w14:textId="77777777" w:rsidR="000E3A43" w:rsidRPr="007A0EA6" w:rsidRDefault="000E3A43" w:rsidP="000E3A43">
      <w:pPr>
        <w:pStyle w:val="Heading1"/>
        <w:spacing w:line="240" w:lineRule="auto"/>
        <w:rPr>
          <w:sz w:val="36"/>
          <w:szCs w:val="36"/>
        </w:rPr>
      </w:pPr>
      <w:r w:rsidRPr="007A0EA6">
        <w:rPr>
          <w:sz w:val="36"/>
          <w:szCs w:val="36"/>
        </w:rPr>
        <w:t>Associated Forms</w:t>
      </w:r>
    </w:p>
    <w:p w14:paraId="259493E5" w14:textId="77777777" w:rsidR="000E3A43" w:rsidRPr="00EC74B9" w:rsidRDefault="000E3A43" w:rsidP="000E3A43">
      <w:pPr>
        <w:spacing w:line="240" w:lineRule="auto"/>
      </w:pPr>
      <w:r>
        <w:t xml:space="preserve">All forms associated with this policy can be found on </w:t>
      </w:r>
      <w:proofErr w:type="spellStart"/>
      <w:r>
        <w:t>Rochester@Work</w:t>
      </w:r>
      <w:proofErr w:type="spellEnd"/>
      <w:r>
        <w:t xml:space="preserve">. </w:t>
      </w:r>
    </w:p>
    <w:p w14:paraId="02C29EB5" w14:textId="6EE9788C" w:rsidR="000E3A43" w:rsidRDefault="000E3A43" w:rsidP="000E3A43">
      <w:pPr>
        <w:pStyle w:val="ListParagraph"/>
        <w:numPr>
          <w:ilvl w:val="0"/>
          <w:numId w:val="14"/>
        </w:numPr>
        <w:spacing w:after="0" w:line="240" w:lineRule="auto"/>
      </w:pPr>
      <w:r w:rsidRPr="000420ED">
        <w:t>Volunteer Acknowledgement Form</w:t>
      </w:r>
    </w:p>
    <w:p w14:paraId="78E15903" w14:textId="77777777" w:rsidR="000E3A43" w:rsidRPr="007A0EA6" w:rsidRDefault="000E3A43" w:rsidP="000E3A43">
      <w:pPr>
        <w:pStyle w:val="Heading1"/>
        <w:spacing w:line="240" w:lineRule="auto"/>
        <w:rPr>
          <w:sz w:val="36"/>
          <w:szCs w:val="36"/>
        </w:rPr>
      </w:pPr>
      <w:r w:rsidRPr="007A0EA6">
        <w:rPr>
          <w:sz w:val="36"/>
          <w:szCs w:val="36"/>
        </w:rPr>
        <w:t xml:space="preserve">Legal &amp; Statutory Authority </w:t>
      </w:r>
    </w:p>
    <w:p w14:paraId="72126388" w14:textId="77777777" w:rsidR="000E3A43" w:rsidRPr="00553E6C" w:rsidRDefault="000E3A43" w:rsidP="000E3A43">
      <w:pPr>
        <w:pStyle w:val="ListParagraph"/>
        <w:numPr>
          <w:ilvl w:val="0"/>
          <w:numId w:val="14"/>
        </w:numPr>
        <w:spacing w:after="0" w:line="240" w:lineRule="auto"/>
        <w:jc w:val="both"/>
      </w:pPr>
      <w:r w:rsidRPr="00553E6C">
        <w:t>Fair Labor Standards Act (FLSA)</w:t>
      </w:r>
    </w:p>
    <w:p w14:paraId="37E8CBDB" w14:textId="0C936680" w:rsidR="000E3A43" w:rsidRPr="000E3A43" w:rsidRDefault="000E3A43" w:rsidP="000E3A43">
      <w:pPr>
        <w:pStyle w:val="ListParagraph"/>
        <w:numPr>
          <w:ilvl w:val="0"/>
          <w:numId w:val="14"/>
        </w:numPr>
        <w:spacing w:after="0" w:line="240" w:lineRule="auto"/>
        <w:jc w:val="both"/>
      </w:pPr>
      <w:r w:rsidRPr="7E1F2A92">
        <w:t>29 U.S.C. § 203(e)(4)(A) and 29 C.F.R. §§ 553.101–106</w:t>
      </w:r>
    </w:p>
    <w:p w14:paraId="320AC9D9" w14:textId="772D190B" w:rsidR="00EC74B9" w:rsidRDefault="00EC74B9" w:rsidP="0031676B">
      <w:pPr>
        <w:pStyle w:val="Heading1"/>
        <w:spacing w:line="240" w:lineRule="auto"/>
        <w:rPr>
          <w:sz w:val="36"/>
          <w:szCs w:val="32"/>
        </w:rPr>
      </w:pPr>
      <w:r w:rsidRPr="007A0EA6">
        <w:rPr>
          <w:sz w:val="36"/>
          <w:szCs w:val="32"/>
        </w:rPr>
        <w:t>Approval &amp; Policy Revisions</w:t>
      </w:r>
    </w:p>
    <w:p w14:paraId="03DB08FE" w14:textId="46C499D2" w:rsidR="00D321D2" w:rsidRPr="00D321D2" w:rsidRDefault="00D321D2" w:rsidP="00D321D2">
      <w:pPr>
        <w:rPr>
          <w:sz w:val="22"/>
        </w:rPr>
      </w:pPr>
      <w:r w:rsidRPr="00565CF5">
        <w:rPr>
          <w:sz w:val="22"/>
        </w:rPr>
        <w:t>This policy will be reviewed periodically by Human Resources in collaboration with relevant departments to ensure it remains current and effective. Suggested updates or improvements should be submitted to the HR Department.</w:t>
      </w:r>
    </w:p>
    <w:p w14:paraId="5B552564" w14:textId="6CE3C2CB" w:rsidR="00EC74B9" w:rsidRPr="0031676B" w:rsidRDefault="00EC74B9" w:rsidP="0031676B">
      <w:pPr>
        <w:tabs>
          <w:tab w:val="left" w:pos="6030"/>
        </w:tabs>
        <w:spacing w:line="240" w:lineRule="auto"/>
        <w:rPr>
          <w:sz w:val="22"/>
          <w:szCs w:val="22"/>
        </w:rPr>
      </w:pPr>
      <w:r w:rsidRPr="0031676B">
        <w:rPr>
          <w:sz w:val="22"/>
          <w:szCs w:val="22"/>
        </w:rPr>
        <w:t xml:space="preserve">Policy revisions approved on </w:t>
      </w:r>
      <w:r w:rsidR="00D321D2">
        <w:rPr>
          <w:sz w:val="22"/>
          <w:szCs w:val="22"/>
        </w:rPr>
        <w:t>12/04/2025</w:t>
      </w:r>
    </w:p>
    <w:p w14:paraId="43F98477" w14:textId="6D8294C8" w:rsidR="00EC74B9" w:rsidRDefault="00EC74B9" w:rsidP="0031676B">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15BEC363" w14:textId="158FD55A" w:rsidR="003F5163" w:rsidRPr="0031676B" w:rsidRDefault="00EC74B9" w:rsidP="0031676B">
      <w:pPr>
        <w:tabs>
          <w:tab w:val="left" w:pos="6030"/>
        </w:tabs>
        <w:spacing w:line="240" w:lineRule="auto"/>
        <w:rPr>
          <w:sz w:val="22"/>
          <w:szCs w:val="22"/>
        </w:rPr>
      </w:pPr>
      <w:r w:rsidRPr="0031676B">
        <w:rPr>
          <w:sz w:val="22"/>
          <w:szCs w:val="22"/>
        </w:rPr>
        <w:t>Alison Zelms</w:t>
      </w:r>
      <w:r w:rsidR="003F5163" w:rsidRPr="0031676B">
        <w:rPr>
          <w:sz w:val="22"/>
          <w:szCs w:val="22"/>
        </w:rPr>
        <w:t>, City Administrator</w:t>
      </w:r>
    </w:p>
    <w:p w14:paraId="79A26063" w14:textId="77777777" w:rsidR="000E3A43" w:rsidRDefault="000E3A43" w:rsidP="0031676B">
      <w:pPr>
        <w:pStyle w:val="Heading2"/>
        <w:spacing w:line="240" w:lineRule="auto"/>
        <w:rPr>
          <w:rStyle w:val="SubtleEmphasis"/>
          <w:i w:val="0"/>
          <w:iCs w:val="0"/>
          <w:color w:val="auto"/>
          <w:sz w:val="24"/>
          <w:szCs w:val="22"/>
        </w:rPr>
      </w:pPr>
    </w:p>
    <w:p w14:paraId="70499FAF" w14:textId="0DC27F82" w:rsidR="003F5163" w:rsidRDefault="003F5163" w:rsidP="0031676B">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391D8865" w:rsidR="003F5163" w:rsidRPr="0031676B" w:rsidRDefault="003F5163" w:rsidP="0031676B">
      <w:pPr>
        <w:spacing w:line="240" w:lineRule="auto"/>
        <w:rPr>
          <w:sz w:val="22"/>
          <w:szCs w:val="22"/>
        </w:rPr>
      </w:pPr>
      <w:r w:rsidRPr="0031676B">
        <w:rPr>
          <w:sz w:val="22"/>
          <w:szCs w:val="22"/>
        </w:rPr>
        <w:t xml:space="preserve">Current Revision: </w:t>
      </w:r>
      <w:r w:rsidR="00D321D2">
        <w:rPr>
          <w:sz w:val="22"/>
          <w:szCs w:val="22"/>
        </w:rPr>
        <w:t>11/21/2025</w:t>
      </w:r>
    </w:p>
    <w:p w14:paraId="7DC0D12D" w14:textId="77777777" w:rsidR="00D321D2" w:rsidRDefault="00D321D2" w:rsidP="00D321D2">
      <w:pPr>
        <w:jc w:val="both"/>
        <w:rPr>
          <w:u w:val="single"/>
        </w:rPr>
      </w:pPr>
    </w:p>
    <w:p w14:paraId="6393660B" w14:textId="3D0654C7" w:rsidR="003F5163" w:rsidRPr="0031676B" w:rsidRDefault="003F5163" w:rsidP="0031676B">
      <w:pPr>
        <w:spacing w:line="240" w:lineRule="auto"/>
        <w:rPr>
          <w:sz w:val="22"/>
          <w:szCs w:val="22"/>
        </w:rPr>
      </w:pPr>
    </w:p>
    <w:sectPr w:rsidR="003F5163" w:rsidRPr="0031676B"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983E" w14:textId="77777777" w:rsidR="00E63DB6" w:rsidRDefault="00E63DB6" w:rsidP="00304D1F">
      <w:r>
        <w:separator/>
      </w:r>
    </w:p>
  </w:endnote>
  <w:endnote w:type="continuationSeparator" w:id="0">
    <w:p w14:paraId="3A250D54" w14:textId="77777777" w:rsidR="00E63DB6" w:rsidRDefault="00E63DB6"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431A" w14:textId="77777777" w:rsidR="00E63DB6" w:rsidRDefault="00E63DB6" w:rsidP="00304D1F">
      <w:r>
        <w:separator/>
      </w:r>
    </w:p>
  </w:footnote>
  <w:footnote w:type="continuationSeparator" w:id="0">
    <w:p w14:paraId="68673B7A" w14:textId="77777777" w:rsidR="00E63DB6" w:rsidRDefault="00E63DB6"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F1C2A"/>
    <w:multiLevelType w:val="hybridMultilevel"/>
    <w:tmpl w:val="F6F4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27B33"/>
    <w:multiLevelType w:val="hybridMultilevel"/>
    <w:tmpl w:val="365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D90773"/>
    <w:multiLevelType w:val="hybridMultilevel"/>
    <w:tmpl w:val="C9CC547A"/>
    <w:lvl w:ilvl="0" w:tplc="EA3ED7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690E11"/>
    <w:multiLevelType w:val="hybridMultilevel"/>
    <w:tmpl w:val="ABE8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443403">
    <w:abstractNumId w:val="7"/>
  </w:num>
  <w:num w:numId="2" w16cid:durableId="1177840911">
    <w:abstractNumId w:val="7"/>
  </w:num>
  <w:num w:numId="3" w16cid:durableId="1600986767">
    <w:abstractNumId w:val="2"/>
  </w:num>
  <w:num w:numId="4" w16cid:durableId="1991249410">
    <w:abstractNumId w:val="0"/>
  </w:num>
  <w:num w:numId="5" w16cid:durableId="1842621057">
    <w:abstractNumId w:val="11"/>
  </w:num>
  <w:num w:numId="6" w16cid:durableId="674042829">
    <w:abstractNumId w:val="10"/>
  </w:num>
  <w:num w:numId="7" w16cid:durableId="1606842324">
    <w:abstractNumId w:val="9"/>
  </w:num>
  <w:num w:numId="8" w16cid:durableId="1686594550">
    <w:abstractNumId w:val="5"/>
  </w:num>
  <w:num w:numId="9" w16cid:durableId="1986427474">
    <w:abstractNumId w:val="12"/>
  </w:num>
  <w:num w:numId="10" w16cid:durableId="1883976744">
    <w:abstractNumId w:val="6"/>
  </w:num>
  <w:num w:numId="11" w16cid:durableId="1014645314">
    <w:abstractNumId w:val="3"/>
  </w:num>
  <w:num w:numId="12" w16cid:durableId="309481337">
    <w:abstractNumId w:val="4"/>
  </w:num>
  <w:num w:numId="13" w16cid:durableId="688727104">
    <w:abstractNumId w:val="13"/>
  </w:num>
  <w:num w:numId="14" w16cid:durableId="639268728">
    <w:abstractNumId w:val="1"/>
  </w:num>
  <w:num w:numId="15" w16cid:durableId="1711683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3A43"/>
    <w:rsid w:val="000E540F"/>
    <w:rsid w:val="001125D6"/>
    <w:rsid w:val="00116F6D"/>
    <w:rsid w:val="00142A43"/>
    <w:rsid w:val="001441DB"/>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3EF1"/>
    <w:rsid w:val="00301B30"/>
    <w:rsid w:val="00304D1F"/>
    <w:rsid w:val="00307203"/>
    <w:rsid w:val="0031676B"/>
    <w:rsid w:val="00331EF7"/>
    <w:rsid w:val="00332659"/>
    <w:rsid w:val="00340E1E"/>
    <w:rsid w:val="00353D56"/>
    <w:rsid w:val="00363EA0"/>
    <w:rsid w:val="00385A3B"/>
    <w:rsid w:val="0038630C"/>
    <w:rsid w:val="003A6E9F"/>
    <w:rsid w:val="003B7987"/>
    <w:rsid w:val="003D4061"/>
    <w:rsid w:val="003F5163"/>
    <w:rsid w:val="00402844"/>
    <w:rsid w:val="00405FBA"/>
    <w:rsid w:val="00411DA2"/>
    <w:rsid w:val="00421F7E"/>
    <w:rsid w:val="00427530"/>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07E5A"/>
    <w:rsid w:val="006174FF"/>
    <w:rsid w:val="00621F85"/>
    <w:rsid w:val="00636A84"/>
    <w:rsid w:val="00645E53"/>
    <w:rsid w:val="00663633"/>
    <w:rsid w:val="006671A2"/>
    <w:rsid w:val="006867B1"/>
    <w:rsid w:val="00706417"/>
    <w:rsid w:val="00717428"/>
    <w:rsid w:val="00722CCA"/>
    <w:rsid w:val="00740C16"/>
    <w:rsid w:val="007504A8"/>
    <w:rsid w:val="00751F62"/>
    <w:rsid w:val="00764998"/>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E5085"/>
    <w:rsid w:val="008F05B3"/>
    <w:rsid w:val="008F72BB"/>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E3ECD"/>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5759"/>
    <w:rsid w:val="00CB183E"/>
    <w:rsid w:val="00CB47CD"/>
    <w:rsid w:val="00CD3397"/>
    <w:rsid w:val="00D02145"/>
    <w:rsid w:val="00D321D2"/>
    <w:rsid w:val="00D338D6"/>
    <w:rsid w:val="00D51BE0"/>
    <w:rsid w:val="00D563FA"/>
    <w:rsid w:val="00D75A5A"/>
    <w:rsid w:val="00D97A54"/>
    <w:rsid w:val="00D97C45"/>
    <w:rsid w:val="00DA3E06"/>
    <w:rsid w:val="00DB4673"/>
    <w:rsid w:val="00DC2ED9"/>
    <w:rsid w:val="00DD3CA5"/>
    <w:rsid w:val="00DE6355"/>
    <w:rsid w:val="00DF6311"/>
    <w:rsid w:val="00E36189"/>
    <w:rsid w:val="00E40D1F"/>
    <w:rsid w:val="00E61CD6"/>
    <w:rsid w:val="00E63DB6"/>
    <w:rsid w:val="00E7102A"/>
    <w:rsid w:val="00E77456"/>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Props1.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2.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4.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docProps/app.xml><?xml version="1.0" encoding="utf-8"?>
<Properties xmlns="http://schemas.openxmlformats.org/officeDocument/2006/extended-properties" xmlns:vt="http://schemas.openxmlformats.org/officeDocument/2006/docPropsVTypes">
  <Template>COR_ADA_Letterhead_2026</Template>
  <TotalTime>3</TotalTime>
  <Pages>3</Pages>
  <Words>476</Words>
  <Characters>2627</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Heidi Mason</cp:lastModifiedBy>
  <cp:revision>3</cp:revision>
  <dcterms:created xsi:type="dcterms:W3CDTF">2026-04-10T19:45:00Z</dcterms:created>
  <dcterms:modified xsi:type="dcterms:W3CDTF">2026-04-15T16:01:00Z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