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tblCellMar>
        <w:tblLook w:val="04A0" w:firstRow="1" w:lastRow="0" w:firstColumn="1" w:lastColumn="0" w:noHBand="0" w:noVBand="1"/>
      </w:tblPr>
      <w:tblGrid>
        <w:gridCol w:w="8010"/>
        <w:gridCol w:w="2700"/>
      </w:tblGrid>
      <w:tr w:rsidR="00E61CD6" w14:paraId="27266B88" w14:textId="77777777" w:rsidTr="0086545A">
        <w:trPr>
          <w:trHeight w:val="1254"/>
        </w:trPr>
        <w:tc>
          <w:tcPr>
            <w:tcW w:w="8010" w:type="dxa"/>
            <w:tcBorders>
              <w:right w:val="single" w:sz="4" w:space="0" w:color="005970"/>
            </w:tcBorders>
          </w:tcPr>
          <w:p w14:paraId="756F31CE" w14:textId="77777777" w:rsidR="00E61CD6" w:rsidRDefault="00E61CD6" w:rsidP="0086545A">
            <w:pPr>
              <w:pStyle w:val="Header"/>
            </w:pPr>
            <w:r>
              <w:rPr>
                <w:noProof/>
              </w:rPr>
              <w:drawing>
                <wp:inline distT="0" distB="0" distL="0" distR="0" wp14:anchorId="2845AE9F" wp14:editId="3CFB8698">
                  <wp:extent cx="1930532" cy="699715"/>
                  <wp:effectExtent l="0" t="0" r="0" b="0"/>
                  <wp:docPr id="286584586" name="Picture 1" descr="City of Rochester,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6035" name="Picture 1" descr="City of Rochester, Minnesota logo"/>
                          <pic:cNvPicPr/>
                        </pic:nvPicPr>
                        <pic:blipFill rotWithShape="1">
                          <a:blip r:embed="rId11" cstate="print">
                            <a:extLst>
                              <a:ext uri="{28A0092B-C50C-407E-A947-70E740481C1C}">
                                <a14:useLocalDpi xmlns:a14="http://schemas.microsoft.com/office/drawing/2010/main" val="0"/>
                              </a:ext>
                            </a:extLst>
                          </a:blip>
                          <a:srcRect l="11966" t="21371" r="10151" b="22172"/>
                          <a:stretch>
                            <a:fillRect/>
                          </a:stretch>
                        </pic:blipFill>
                        <pic:spPr bwMode="auto">
                          <a:xfrm>
                            <a:off x="0" y="0"/>
                            <a:ext cx="1943764" cy="704511"/>
                          </a:xfrm>
                          <a:prstGeom prst="rect">
                            <a:avLst/>
                          </a:prstGeom>
                          <a:ln>
                            <a:noFill/>
                          </a:ln>
                          <a:extLst>
                            <a:ext uri="{53640926-AAD7-44D8-BBD7-CCE9431645EC}">
                              <a14:shadowObscured xmlns:a14="http://schemas.microsoft.com/office/drawing/2010/main"/>
                            </a:ext>
                          </a:extLst>
                        </pic:spPr>
                      </pic:pic>
                    </a:graphicData>
                  </a:graphic>
                </wp:inline>
              </w:drawing>
            </w:r>
          </w:p>
        </w:tc>
        <w:tc>
          <w:tcPr>
            <w:tcW w:w="2700" w:type="dxa"/>
            <w:tcBorders>
              <w:left w:val="single" w:sz="4" w:space="0" w:color="005970"/>
            </w:tcBorders>
            <w:vAlign w:val="center"/>
          </w:tcPr>
          <w:p w14:paraId="45D6921D" w14:textId="77777777" w:rsidR="00E61CD6" w:rsidRPr="001C42E7" w:rsidRDefault="00E61CD6" w:rsidP="0086545A">
            <w:pPr>
              <w:pStyle w:val="Header"/>
              <w:ind w:left="207" w:right="-1005"/>
              <w:rPr>
                <w:color w:val="00586F" w:themeColor="text2"/>
                <w:sz w:val="22"/>
                <w:szCs w:val="22"/>
              </w:rPr>
            </w:pPr>
            <w:r w:rsidRPr="001C42E7">
              <w:rPr>
                <w:b/>
                <w:bCs/>
                <w:color w:val="00586F" w:themeColor="text2"/>
                <w:sz w:val="22"/>
                <w:szCs w:val="22"/>
              </w:rPr>
              <w:t>City of Rochester, MN</w:t>
            </w:r>
            <w:r w:rsidRPr="001C42E7">
              <w:rPr>
                <w:color w:val="00586F" w:themeColor="text2"/>
                <w:sz w:val="22"/>
                <w:szCs w:val="22"/>
              </w:rPr>
              <w:br/>
              <w:t>201 4th Street SE</w:t>
            </w:r>
            <w:r w:rsidRPr="001C42E7">
              <w:rPr>
                <w:color w:val="00586F" w:themeColor="text2"/>
                <w:sz w:val="22"/>
                <w:szCs w:val="22"/>
              </w:rPr>
              <w:br/>
              <w:t>Rochester, 55904</w:t>
            </w:r>
          </w:p>
          <w:p w14:paraId="53B03A20" w14:textId="77777777" w:rsidR="00E61CD6" w:rsidRDefault="00E61CD6" w:rsidP="0086545A">
            <w:pPr>
              <w:pStyle w:val="Header"/>
              <w:ind w:left="207" w:right="-1005"/>
              <w:rPr>
                <w:color w:val="00586F" w:themeColor="text2"/>
                <w:sz w:val="22"/>
                <w:szCs w:val="22"/>
              </w:rPr>
            </w:pPr>
            <w:r w:rsidRPr="001C42E7">
              <w:rPr>
                <w:color w:val="00586F" w:themeColor="text2"/>
                <w:sz w:val="22"/>
                <w:szCs w:val="22"/>
              </w:rPr>
              <w:t>507-328-2900</w:t>
            </w:r>
          </w:p>
          <w:p w14:paraId="2AB2C46E" w14:textId="77777777" w:rsidR="00E61CD6" w:rsidRPr="00926655" w:rsidRDefault="00E61CD6" w:rsidP="0086545A">
            <w:pPr>
              <w:pStyle w:val="Header"/>
              <w:ind w:left="207" w:right="-1005"/>
              <w:rPr>
                <w:color w:val="00586F" w:themeColor="text2"/>
                <w:sz w:val="21"/>
                <w:szCs w:val="21"/>
              </w:rPr>
            </w:pPr>
            <w:r w:rsidRPr="00142A43">
              <w:rPr>
                <w:color w:val="00586F" w:themeColor="text2"/>
                <w:sz w:val="22"/>
                <w:szCs w:val="22"/>
              </w:rPr>
              <w:t>www.rochestermn.gov</w:t>
            </w:r>
          </w:p>
        </w:tc>
      </w:tr>
    </w:tbl>
    <w:p w14:paraId="07F80365" w14:textId="6D2E5C96" w:rsidR="00A7445F" w:rsidRPr="00C85759" w:rsidRDefault="002C0197" w:rsidP="008C0220">
      <w:pPr>
        <w:pStyle w:val="Title"/>
        <w:jc w:val="center"/>
        <w:rPr>
          <w:i/>
          <w:iCs/>
          <w:sz w:val="28"/>
        </w:rPr>
      </w:pPr>
      <w:r>
        <w:rPr>
          <w:sz w:val="48"/>
          <w:szCs w:val="48"/>
        </w:rPr>
        <w:t>Vacation Leave</w:t>
      </w:r>
    </w:p>
    <w:p w14:paraId="50A6FC01" w14:textId="38DADE75" w:rsidR="00A7445F" w:rsidRDefault="00231133" w:rsidP="008C0220">
      <w:pPr>
        <w:pStyle w:val="Subtitle"/>
        <w:jc w:val="center"/>
      </w:pPr>
      <w:r>
        <w:t>City of Rochester Organizational Policy</w:t>
      </w:r>
    </w:p>
    <w:p w14:paraId="7A8868FC" w14:textId="03239A97" w:rsidR="00776524" w:rsidRPr="007A0EA6" w:rsidRDefault="00231133" w:rsidP="0031676B">
      <w:pPr>
        <w:pStyle w:val="Heading1"/>
        <w:spacing w:line="240" w:lineRule="auto"/>
        <w:rPr>
          <w:rStyle w:val="SubtleEmphasis"/>
          <w:i w:val="0"/>
          <w:iCs w:val="0"/>
          <w:color w:val="00586F" w:themeColor="text2"/>
          <w:sz w:val="36"/>
          <w:szCs w:val="36"/>
        </w:rPr>
      </w:pPr>
      <w:r w:rsidRPr="007A0EA6">
        <w:rPr>
          <w:rStyle w:val="SubtleEmphasis"/>
          <w:i w:val="0"/>
          <w:iCs w:val="0"/>
          <w:color w:val="00586F" w:themeColor="text2"/>
          <w:sz w:val="36"/>
          <w:szCs w:val="36"/>
        </w:rPr>
        <w:t>Purpose</w:t>
      </w:r>
    </w:p>
    <w:p w14:paraId="0B49CF86" w14:textId="77777777" w:rsidR="002C0197" w:rsidRDefault="002C0197" w:rsidP="002C0197">
      <w:pPr>
        <w:spacing w:line="240" w:lineRule="auto"/>
        <w:rPr>
          <w:sz w:val="22"/>
          <w:szCs w:val="22"/>
        </w:rPr>
      </w:pPr>
      <w:r w:rsidRPr="002C0197">
        <w:rPr>
          <w:sz w:val="22"/>
          <w:szCs w:val="22"/>
        </w:rPr>
        <w:t>The City of Rochester is committed to providing a work environment that recognizes work-life balance and employee well-being.  This policy provides employees with a paid vacation benefit to encourage an opportunity for rest, relaxation, and rejuvenation.  It also outlines the criteria governing eligibility, the accrual and use of vacation leave.</w:t>
      </w:r>
    </w:p>
    <w:p w14:paraId="761A65F7" w14:textId="06F8A11F" w:rsidR="002C0197" w:rsidRPr="002C0197" w:rsidRDefault="002C0197" w:rsidP="002C0197">
      <w:pPr>
        <w:spacing w:line="240" w:lineRule="auto"/>
        <w:rPr>
          <w:sz w:val="22"/>
          <w:szCs w:val="22"/>
        </w:rPr>
      </w:pPr>
      <w:r w:rsidRPr="002C0197">
        <w:rPr>
          <w:sz w:val="22"/>
          <w:szCs w:val="22"/>
        </w:rPr>
        <w:t xml:space="preserve">Nothing stated in this policy creates an employment contract between the City of Rochester and its employees. </w:t>
      </w:r>
    </w:p>
    <w:p w14:paraId="5E307D96" w14:textId="05E6F38F" w:rsidR="00706417" w:rsidRPr="007A0EA6" w:rsidRDefault="00231133" w:rsidP="0031676B">
      <w:pPr>
        <w:pStyle w:val="Heading1"/>
        <w:spacing w:line="240" w:lineRule="auto"/>
        <w:rPr>
          <w:rStyle w:val="SubtleEmphasis"/>
          <w:i w:val="0"/>
          <w:iCs w:val="0"/>
          <w:color w:val="00586F" w:themeColor="text2"/>
          <w:sz w:val="36"/>
          <w:szCs w:val="36"/>
        </w:rPr>
      </w:pPr>
      <w:r w:rsidRPr="007A0EA6">
        <w:rPr>
          <w:rStyle w:val="SubtleEmphasis"/>
          <w:i w:val="0"/>
          <w:iCs w:val="0"/>
          <w:color w:val="00586F" w:themeColor="text2"/>
          <w:sz w:val="36"/>
          <w:szCs w:val="36"/>
        </w:rPr>
        <w:t>Eligibility</w:t>
      </w:r>
    </w:p>
    <w:p w14:paraId="1DC89259" w14:textId="77777777" w:rsidR="002C0197" w:rsidRPr="002C0197" w:rsidRDefault="002C0197" w:rsidP="002C0197">
      <w:pPr>
        <w:spacing w:line="240" w:lineRule="auto"/>
        <w:rPr>
          <w:sz w:val="22"/>
          <w:szCs w:val="22"/>
        </w:rPr>
      </w:pPr>
      <w:r w:rsidRPr="002C0197">
        <w:rPr>
          <w:rFonts w:eastAsia="Arial"/>
          <w:color w:val="333333"/>
          <w:sz w:val="22"/>
          <w:szCs w:val="22"/>
        </w:rPr>
        <w:t>Employees who are classified as regular, benefits eligible will accrue vacation benefits, unless otherwise specified in a collective bargaining agreement. Regular, benefits eligible is defined as employees whose length of employment is scheduled to last more than 12 months and who are working 20 hours or more per week.</w:t>
      </w:r>
      <w:r w:rsidRPr="002C0197">
        <w:rPr>
          <w:rFonts w:eastAsia="Arial"/>
          <w:color w:val="2B579A"/>
          <w:sz w:val="22"/>
          <w:szCs w:val="22"/>
        </w:rPr>
        <w:t xml:space="preserve"> </w:t>
      </w:r>
      <w:r w:rsidRPr="002C0197">
        <w:rPr>
          <w:sz w:val="22"/>
          <w:szCs w:val="22"/>
        </w:rPr>
        <w:t>Regular, part-time employees accrue vacation benefits on a prorated basis to reflect hours worked compared to full-time equivalency (FTE).  Employees regularly scheduled to work less than 20 hours per week or hired as temporary or seasonal employees shall not be eligible for accrued paid vacation benefits.</w:t>
      </w:r>
    </w:p>
    <w:p w14:paraId="2F740137" w14:textId="4128B9A5" w:rsidR="00231133" w:rsidRPr="007A0EA6" w:rsidRDefault="002C0197" w:rsidP="0031676B">
      <w:pPr>
        <w:pStyle w:val="Heading1"/>
        <w:spacing w:line="240" w:lineRule="auto"/>
        <w:rPr>
          <w:sz w:val="36"/>
          <w:szCs w:val="36"/>
        </w:rPr>
      </w:pPr>
      <w:r>
        <w:rPr>
          <w:sz w:val="36"/>
          <w:szCs w:val="36"/>
        </w:rPr>
        <w:t>Vacation Accrual</w:t>
      </w:r>
    </w:p>
    <w:p w14:paraId="4D98C229" w14:textId="77777777" w:rsidR="002C0197" w:rsidRDefault="002C0197" w:rsidP="002C0197">
      <w:pPr>
        <w:spacing w:line="240" w:lineRule="auto"/>
        <w:rPr>
          <w:sz w:val="22"/>
          <w:szCs w:val="22"/>
        </w:rPr>
      </w:pPr>
      <w:r w:rsidRPr="002C0197">
        <w:rPr>
          <w:sz w:val="22"/>
          <w:szCs w:val="22"/>
        </w:rPr>
        <w:t xml:space="preserve">The amount of vacation which an employee earns is determined by the employee’s length of service as of their employment anniversary date.  Employees accrue vacation as specified in the following accrual schedule, unless otherwise provided for by a collective bargaining agreement: </w:t>
      </w:r>
    </w:p>
    <w:p w14:paraId="0003C46A" w14:textId="78E90EBD" w:rsidR="002C0197" w:rsidRDefault="002C0197" w:rsidP="002C0197">
      <w:pPr>
        <w:spacing w:line="240" w:lineRule="auto"/>
        <w:rPr>
          <w:b/>
          <w:bCs/>
          <w:sz w:val="22"/>
          <w:szCs w:val="22"/>
        </w:rPr>
      </w:pPr>
      <w:r>
        <w:rPr>
          <w:b/>
          <w:bCs/>
          <w:sz w:val="22"/>
          <w:szCs w:val="22"/>
        </w:rPr>
        <w:t>Non-Exempt Employees:</w:t>
      </w:r>
    </w:p>
    <w:tbl>
      <w:tblPr>
        <w:tblStyle w:val="TableGrid"/>
        <w:tblW w:w="0" w:type="auto"/>
        <w:tblLook w:val="04A0" w:firstRow="1" w:lastRow="0" w:firstColumn="1" w:lastColumn="0" w:noHBand="0" w:noVBand="1"/>
      </w:tblPr>
      <w:tblGrid>
        <w:gridCol w:w="4675"/>
        <w:gridCol w:w="4675"/>
      </w:tblGrid>
      <w:tr w:rsidR="002C0197" w14:paraId="6CC323E8" w14:textId="77777777" w:rsidTr="002C0197">
        <w:tc>
          <w:tcPr>
            <w:tcW w:w="4675" w:type="dxa"/>
          </w:tcPr>
          <w:p w14:paraId="4B245D95" w14:textId="41EAF8F5" w:rsidR="002C0197" w:rsidRPr="002C0197" w:rsidRDefault="002C0197" w:rsidP="002C0197">
            <w:pPr>
              <w:rPr>
                <w:b/>
                <w:bCs/>
                <w:sz w:val="22"/>
                <w:szCs w:val="22"/>
              </w:rPr>
            </w:pPr>
            <w:r w:rsidRPr="002C0197">
              <w:rPr>
                <w:b/>
                <w:bCs/>
                <w:sz w:val="22"/>
                <w:szCs w:val="22"/>
              </w:rPr>
              <w:t>Time Worked</w:t>
            </w:r>
          </w:p>
        </w:tc>
        <w:tc>
          <w:tcPr>
            <w:tcW w:w="4675" w:type="dxa"/>
          </w:tcPr>
          <w:p w14:paraId="4D2703A1" w14:textId="6C29D63B" w:rsidR="002C0197" w:rsidRPr="002C0197" w:rsidRDefault="002C0197" w:rsidP="002C0197">
            <w:pPr>
              <w:rPr>
                <w:b/>
                <w:bCs/>
                <w:sz w:val="22"/>
                <w:szCs w:val="22"/>
              </w:rPr>
            </w:pPr>
            <w:r w:rsidRPr="002C0197">
              <w:rPr>
                <w:b/>
                <w:bCs/>
                <w:sz w:val="22"/>
                <w:szCs w:val="22"/>
              </w:rPr>
              <w:t>Vacation Accrual</w:t>
            </w:r>
          </w:p>
        </w:tc>
      </w:tr>
      <w:tr w:rsidR="002C0197" w14:paraId="45B5A445" w14:textId="77777777" w:rsidTr="002C0197">
        <w:tc>
          <w:tcPr>
            <w:tcW w:w="4675" w:type="dxa"/>
          </w:tcPr>
          <w:p w14:paraId="1545751E" w14:textId="301DDF86" w:rsidR="002C0197" w:rsidRDefault="002C0197" w:rsidP="002C0197">
            <w:pPr>
              <w:rPr>
                <w:sz w:val="22"/>
                <w:szCs w:val="22"/>
              </w:rPr>
            </w:pPr>
            <w:r>
              <w:rPr>
                <w:sz w:val="22"/>
                <w:szCs w:val="22"/>
              </w:rPr>
              <w:t>Less than 1 year</w:t>
            </w:r>
          </w:p>
        </w:tc>
        <w:tc>
          <w:tcPr>
            <w:tcW w:w="4675" w:type="dxa"/>
          </w:tcPr>
          <w:p w14:paraId="24AAC0DD" w14:textId="1875896D" w:rsidR="002C0197" w:rsidRDefault="002C0197" w:rsidP="002C0197">
            <w:pPr>
              <w:rPr>
                <w:sz w:val="22"/>
                <w:szCs w:val="22"/>
              </w:rPr>
            </w:pPr>
            <w:r>
              <w:rPr>
                <w:sz w:val="22"/>
                <w:szCs w:val="22"/>
              </w:rPr>
              <w:t>96 hours (Prorated)</w:t>
            </w:r>
          </w:p>
        </w:tc>
      </w:tr>
      <w:tr w:rsidR="002C0197" w14:paraId="02F3CE7F" w14:textId="77777777" w:rsidTr="002C0197">
        <w:tc>
          <w:tcPr>
            <w:tcW w:w="4675" w:type="dxa"/>
          </w:tcPr>
          <w:p w14:paraId="646BB791" w14:textId="3D541601" w:rsidR="002C0197" w:rsidRDefault="002C0197" w:rsidP="002C0197">
            <w:pPr>
              <w:rPr>
                <w:sz w:val="22"/>
                <w:szCs w:val="22"/>
              </w:rPr>
            </w:pPr>
            <w:r>
              <w:rPr>
                <w:sz w:val="22"/>
                <w:szCs w:val="22"/>
              </w:rPr>
              <w:t>1 through 2 yeas</w:t>
            </w:r>
          </w:p>
        </w:tc>
        <w:tc>
          <w:tcPr>
            <w:tcW w:w="4675" w:type="dxa"/>
          </w:tcPr>
          <w:p w14:paraId="136E20FA" w14:textId="553B8F2A" w:rsidR="002C0197" w:rsidRDefault="002C0197" w:rsidP="002C0197">
            <w:pPr>
              <w:rPr>
                <w:sz w:val="22"/>
                <w:szCs w:val="22"/>
              </w:rPr>
            </w:pPr>
            <w:r>
              <w:rPr>
                <w:sz w:val="22"/>
                <w:szCs w:val="22"/>
              </w:rPr>
              <w:t>96 hours or 12 days</w:t>
            </w:r>
          </w:p>
        </w:tc>
      </w:tr>
      <w:tr w:rsidR="002C0197" w14:paraId="60513171" w14:textId="77777777" w:rsidTr="002C0197">
        <w:tc>
          <w:tcPr>
            <w:tcW w:w="4675" w:type="dxa"/>
          </w:tcPr>
          <w:p w14:paraId="5E45900A" w14:textId="5306DA36" w:rsidR="002C0197" w:rsidRDefault="002C0197" w:rsidP="002C0197">
            <w:pPr>
              <w:rPr>
                <w:sz w:val="22"/>
                <w:szCs w:val="22"/>
              </w:rPr>
            </w:pPr>
            <w:r>
              <w:rPr>
                <w:sz w:val="22"/>
                <w:szCs w:val="22"/>
              </w:rPr>
              <w:t>3 through 5 years</w:t>
            </w:r>
          </w:p>
        </w:tc>
        <w:tc>
          <w:tcPr>
            <w:tcW w:w="4675" w:type="dxa"/>
          </w:tcPr>
          <w:p w14:paraId="2DB3A86D" w14:textId="7D043C5A" w:rsidR="002C0197" w:rsidRDefault="002C0197" w:rsidP="002C0197">
            <w:pPr>
              <w:rPr>
                <w:sz w:val="22"/>
                <w:szCs w:val="22"/>
              </w:rPr>
            </w:pPr>
            <w:r>
              <w:rPr>
                <w:sz w:val="22"/>
                <w:szCs w:val="22"/>
              </w:rPr>
              <w:t>120 hours or 15 days</w:t>
            </w:r>
          </w:p>
        </w:tc>
      </w:tr>
      <w:tr w:rsidR="002C0197" w14:paraId="1489C092" w14:textId="77777777" w:rsidTr="002C0197">
        <w:tc>
          <w:tcPr>
            <w:tcW w:w="4675" w:type="dxa"/>
          </w:tcPr>
          <w:p w14:paraId="25E29FB5" w14:textId="6E4B0E82" w:rsidR="002C0197" w:rsidRDefault="002C0197" w:rsidP="002C0197">
            <w:pPr>
              <w:rPr>
                <w:sz w:val="22"/>
                <w:szCs w:val="22"/>
              </w:rPr>
            </w:pPr>
            <w:r>
              <w:rPr>
                <w:sz w:val="22"/>
                <w:szCs w:val="22"/>
              </w:rPr>
              <w:t>6 through 10 years</w:t>
            </w:r>
          </w:p>
        </w:tc>
        <w:tc>
          <w:tcPr>
            <w:tcW w:w="4675" w:type="dxa"/>
          </w:tcPr>
          <w:p w14:paraId="0215AC90" w14:textId="6E837F55" w:rsidR="002C0197" w:rsidRDefault="002C0197" w:rsidP="002C0197">
            <w:pPr>
              <w:rPr>
                <w:sz w:val="22"/>
                <w:szCs w:val="22"/>
              </w:rPr>
            </w:pPr>
            <w:r>
              <w:rPr>
                <w:sz w:val="22"/>
                <w:szCs w:val="22"/>
              </w:rPr>
              <w:t>152 hours or 19 days</w:t>
            </w:r>
          </w:p>
        </w:tc>
      </w:tr>
      <w:tr w:rsidR="002C0197" w14:paraId="2AF2DE20" w14:textId="77777777" w:rsidTr="002C0197">
        <w:tc>
          <w:tcPr>
            <w:tcW w:w="4675" w:type="dxa"/>
          </w:tcPr>
          <w:p w14:paraId="03AD539F" w14:textId="0C2A129E" w:rsidR="002C0197" w:rsidRDefault="002C0197" w:rsidP="002C0197">
            <w:pPr>
              <w:rPr>
                <w:sz w:val="22"/>
                <w:szCs w:val="22"/>
              </w:rPr>
            </w:pPr>
            <w:r>
              <w:rPr>
                <w:sz w:val="22"/>
                <w:szCs w:val="22"/>
              </w:rPr>
              <w:t>11 through 15 years</w:t>
            </w:r>
          </w:p>
        </w:tc>
        <w:tc>
          <w:tcPr>
            <w:tcW w:w="4675" w:type="dxa"/>
          </w:tcPr>
          <w:p w14:paraId="2B6DB62E" w14:textId="716ECD90" w:rsidR="002C0197" w:rsidRDefault="002C0197" w:rsidP="002C0197">
            <w:pPr>
              <w:rPr>
                <w:sz w:val="22"/>
                <w:szCs w:val="22"/>
              </w:rPr>
            </w:pPr>
            <w:r>
              <w:rPr>
                <w:sz w:val="22"/>
                <w:szCs w:val="22"/>
              </w:rPr>
              <w:t>176 hours or 22 days</w:t>
            </w:r>
          </w:p>
        </w:tc>
      </w:tr>
      <w:tr w:rsidR="002C0197" w14:paraId="1ECBF844" w14:textId="77777777" w:rsidTr="002C0197">
        <w:tc>
          <w:tcPr>
            <w:tcW w:w="4675" w:type="dxa"/>
          </w:tcPr>
          <w:p w14:paraId="507D7FBA" w14:textId="190EF4E1" w:rsidR="002C0197" w:rsidRDefault="002C0197" w:rsidP="002C0197">
            <w:pPr>
              <w:rPr>
                <w:sz w:val="22"/>
                <w:szCs w:val="22"/>
              </w:rPr>
            </w:pPr>
            <w:r>
              <w:rPr>
                <w:sz w:val="22"/>
                <w:szCs w:val="22"/>
              </w:rPr>
              <w:t>16 through 19 years</w:t>
            </w:r>
          </w:p>
        </w:tc>
        <w:tc>
          <w:tcPr>
            <w:tcW w:w="4675" w:type="dxa"/>
          </w:tcPr>
          <w:p w14:paraId="7999DD4E" w14:textId="3191FEE8" w:rsidR="002C0197" w:rsidRDefault="002C0197" w:rsidP="002C0197">
            <w:pPr>
              <w:rPr>
                <w:sz w:val="22"/>
                <w:szCs w:val="22"/>
              </w:rPr>
            </w:pPr>
            <w:r>
              <w:rPr>
                <w:sz w:val="22"/>
                <w:szCs w:val="22"/>
              </w:rPr>
              <w:t>192 hours or 24 days</w:t>
            </w:r>
          </w:p>
        </w:tc>
      </w:tr>
      <w:tr w:rsidR="002C0197" w14:paraId="0FB68F18" w14:textId="77777777" w:rsidTr="002C0197">
        <w:tc>
          <w:tcPr>
            <w:tcW w:w="4675" w:type="dxa"/>
          </w:tcPr>
          <w:p w14:paraId="14566BA2" w14:textId="455E38B6" w:rsidR="002C0197" w:rsidRDefault="002C0197" w:rsidP="002C0197">
            <w:pPr>
              <w:rPr>
                <w:sz w:val="22"/>
                <w:szCs w:val="22"/>
              </w:rPr>
            </w:pPr>
            <w:r>
              <w:rPr>
                <w:sz w:val="22"/>
                <w:szCs w:val="22"/>
              </w:rPr>
              <w:t>20 years</w:t>
            </w:r>
          </w:p>
        </w:tc>
        <w:tc>
          <w:tcPr>
            <w:tcW w:w="4675" w:type="dxa"/>
          </w:tcPr>
          <w:p w14:paraId="526BE17E" w14:textId="371F7850" w:rsidR="002C0197" w:rsidRDefault="002C0197" w:rsidP="002C0197">
            <w:pPr>
              <w:rPr>
                <w:sz w:val="22"/>
                <w:szCs w:val="22"/>
              </w:rPr>
            </w:pPr>
            <w:r>
              <w:rPr>
                <w:sz w:val="22"/>
                <w:szCs w:val="22"/>
              </w:rPr>
              <w:t>200 hours or 25 days</w:t>
            </w:r>
          </w:p>
        </w:tc>
      </w:tr>
    </w:tbl>
    <w:p w14:paraId="09A0AFA1" w14:textId="77777777" w:rsidR="002C0197" w:rsidRDefault="002C0197" w:rsidP="002C0197">
      <w:pPr>
        <w:spacing w:line="240" w:lineRule="auto"/>
        <w:rPr>
          <w:sz w:val="22"/>
          <w:szCs w:val="22"/>
        </w:rPr>
      </w:pPr>
    </w:p>
    <w:p w14:paraId="2A925D29" w14:textId="6E044944" w:rsidR="002C0197" w:rsidRDefault="002C0197" w:rsidP="002C0197">
      <w:pPr>
        <w:spacing w:line="240" w:lineRule="auto"/>
        <w:rPr>
          <w:b/>
          <w:bCs/>
          <w:sz w:val="22"/>
          <w:szCs w:val="22"/>
        </w:rPr>
      </w:pPr>
      <w:r w:rsidRPr="002C0197">
        <w:rPr>
          <w:b/>
          <w:bCs/>
          <w:sz w:val="22"/>
          <w:szCs w:val="22"/>
        </w:rPr>
        <w:t>Exempt Employees:</w:t>
      </w:r>
    </w:p>
    <w:tbl>
      <w:tblPr>
        <w:tblStyle w:val="TableGrid"/>
        <w:tblW w:w="0" w:type="auto"/>
        <w:tblLook w:val="04A0" w:firstRow="1" w:lastRow="0" w:firstColumn="1" w:lastColumn="0" w:noHBand="0" w:noVBand="1"/>
      </w:tblPr>
      <w:tblGrid>
        <w:gridCol w:w="4675"/>
        <w:gridCol w:w="4675"/>
      </w:tblGrid>
      <w:tr w:rsidR="002C0197" w14:paraId="2DB0AA72" w14:textId="77777777" w:rsidTr="002C0197">
        <w:tc>
          <w:tcPr>
            <w:tcW w:w="4675" w:type="dxa"/>
          </w:tcPr>
          <w:p w14:paraId="56E85EDB" w14:textId="47FE5934" w:rsidR="002C0197" w:rsidRDefault="002C0197" w:rsidP="002C0197">
            <w:pPr>
              <w:rPr>
                <w:b/>
                <w:bCs/>
                <w:sz w:val="22"/>
                <w:szCs w:val="22"/>
              </w:rPr>
            </w:pPr>
            <w:r>
              <w:rPr>
                <w:b/>
                <w:bCs/>
                <w:sz w:val="22"/>
                <w:szCs w:val="22"/>
              </w:rPr>
              <w:lastRenderedPageBreak/>
              <w:t>Time Worked</w:t>
            </w:r>
          </w:p>
        </w:tc>
        <w:tc>
          <w:tcPr>
            <w:tcW w:w="4675" w:type="dxa"/>
          </w:tcPr>
          <w:p w14:paraId="2B8BCFD3" w14:textId="313B8718" w:rsidR="002C0197" w:rsidRDefault="002C0197" w:rsidP="002C0197">
            <w:pPr>
              <w:rPr>
                <w:b/>
                <w:bCs/>
                <w:sz w:val="22"/>
                <w:szCs w:val="22"/>
              </w:rPr>
            </w:pPr>
            <w:r>
              <w:rPr>
                <w:b/>
                <w:bCs/>
                <w:sz w:val="22"/>
                <w:szCs w:val="22"/>
              </w:rPr>
              <w:t>Vacation Accrual</w:t>
            </w:r>
          </w:p>
        </w:tc>
      </w:tr>
      <w:tr w:rsidR="002C0197" w14:paraId="5348A24C" w14:textId="77777777" w:rsidTr="002C0197">
        <w:tc>
          <w:tcPr>
            <w:tcW w:w="4675" w:type="dxa"/>
          </w:tcPr>
          <w:p w14:paraId="6D879441" w14:textId="135D79AD" w:rsidR="002C0197" w:rsidRPr="002C0197" w:rsidRDefault="002C0197" w:rsidP="002C0197">
            <w:pPr>
              <w:rPr>
                <w:sz w:val="22"/>
                <w:szCs w:val="22"/>
              </w:rPr>
            </w:pPr>
            <w:r>
              <w:rPr>
                <w:sz w:val="22"/>
                <w:szCs w:val="22"/>
              </w:rPr>
              <w:t>Less than 1 years</w:t>
            </w:r>
          </w:p>
        </w:tc>
        <w:tc>
          <w:tcPr>
            <w:tcW w:w="4675" w:type="dxa"/>
          </w:tcPr>
          <w:p w14:paraId="054F6E57" w14:textId="31B4BBAC" w:rsidR="002C0197" w:rsidRPr="002C0197" w:rsidRDefault="002C0197" w:rsidP="002C0197">
            <w:pPr>
              <w:rPr>
                <w:sz w:val="22"/>
                <w:szCs w:val="22"/>
              </w:rPr>
            </w:pPr>
            <w:r>
              <w:rPr>
                <w:sz w:val="22"/>
                <w:szCs w:val="22"/>
              </w:rPr>
              <w:t>120 hours (Prorated)</w:t>
            </w:r>
          </w:p>
        </w:tc>
      </w:tr>
      <w:tr w:rsidR="002C0197" w14:paraId="7609F596" w14:textId="77777777" w:rsidTr="002C0197">
        <w:tc>
          <w:tcPr>
            <w:tcW w:w="4675" w:type="dxa"/>
          </w:tcPr>
          <w:p w14:paraId="24871B46" w14:textId="638D094C" w:rsidR="002C0197" w:rsidRPr="002C0197" w:rsidRDefault="002C0197" w:rsidP="002C0197">
            <w:pPr>
              <w:rPr>
                <w:sz w:val="22"/>
                <w:szCs w:val="22"/>
              </w:rPr>
            </w:pPr>
            <w:r w:rsidRPr="002C0197">
              <w:rPr>
                <w:sz w:val="22"/>
                <w:szCs w:val="22"/>
              </w:rPr>
              <w:t>1 through 2 years</w:t>
            </w:r>
          </w:p>
        </w:tc>
        <w:tc>
          <w:tcPr>
            <w:tcW w:w="4675" w:type="dxa"/>
          </w:tcPr>
          <w:p w14:paraId="6E2E01DA" w14:textId="15B6E700" w:rsidR="002C0197" w:rsidRPr="002C0197" w:rsidRDefault="002C0197" w:rsidP="002C0197">
            <w:pPr>
              <w:rPr>
                <w:sz w:val="22"/>
                <w:szCs w:val="22"/>
              </w:rPr>
            </w:pPr>
            <w:r w:rsidRPr="002C0197">
              <w:rPr>
                <w:sz w:val="22"/>
                <w:szCs w:val="22"/>
              </w:rPr>
              <w:t>120 hours or 15 days</w:t>
            </w:r>
          </w:p>
        </w:tc>
      </w:tr>
      <w:tr w:rsidR="002C0197" w14:paraId="733152A4" w14:textId="77777777" w:rsidTr="002C0197">
        <w:tc>
          <w:tcPr>
            <w:tcW w:w="4675" w:type="dxa"/>
          </w:tcPr>
          <w:p w14:paraId="771F832F" w14:textId="23CBB46E" w:rsidR="002C0197" w:rsidRPr="002C0197" w:rsidRDefault="002C0197" w:rsidP="002C0197">
            <w:pPr>
              <w:rPr>
                <w:sz w:val="22"/>
                <w:szCs w:val="22"/>
              </w:rPr>
            </w:pPr>
            <w:r w:rsidRPr="002C0197">
              <w:rPr>
                <w:sz w:val="22"/>
                <w:szCs w:val="22"/>
              </w:rPr>
              <w:t>3 years</w:t>
            </w:r>
          </w:p>
        </w:tc>
        <w:tc>
          <w:tcPr>
            <w:tcW w:w="4675" w:type="dxa"/>
          </w:tcPr>
          <w:p w14:paraId="0EF8A07B" w14:textId="3D59C30C" w:rsidR="002C0197" w:rsidRPr="002C0197" w:rsidRDefault="002C0197" w:rsidP="002C0197">
            <w:pPr>
              <w:rPr>
                <w:sz w:val="22"/>
                <w:szCs w:val="22"/>
              </w:rPr>
            </w:pPr>
            <w:r w:rsidRPr="002C0197">
              <w:rPr>
                <w:sz w:val="22"/>
                <w:szCs w:val="22"/>
              </w:rPr>
              <w:t>128 hours or 16 days</w:t>
            </w:r>
          </w:p>
        </w:tc>
      </w:tr>
      <w:tr w:rsidR="002C0197" w14:paraId="5B393AC0" w14:textId="77777777" w:rsidTr="002C0197">
        <w:tc>
          <w:tcPr>
            <w:tcW w:w="4675" w:type="dxa"/>
          </w:tcPr>
          <w:p w14:paraId="463C541D" w14:textId="28537216" w:rsidR="002C0197" w:rsidRPr="002C0197" w:rsidRDefault="002C0197" w:rsidP="002C0197">
            <w:pPr>
              <w:rPr>
                <w:sz w:val="22"/>
                <w:szCs w:val="22"/>
              </w:rPr>
            </w:pPr>
            <w:r w:rsidRPr="002C0197">
              <w:rPr>
                <w:sz w:val="22"/>
                <w:szCs w:val="22"/>
              </w:rPr>
              <w:t>4 through 5 years</w:t>
            </w:r>
          </w:p>
        </w:tc>
        <w:tc>
          <w:tcPr>
            <w:tcW w:w="4675" w:type="dxa"/>
          </w:tcPr>
          <w:p w14:paraId="1373C42A" w14:textId="57C356D4" w:rsidR="002C0197" w:rsidRPr="002C0197" w:rsidRDefault="002C0197" w:rsidP="002C0197">
            <w:pPr>
              <w:rPr>
                <w:sz w:val="22"/>
                <w:szCs w:val="22"/>
              </w:rPr>
            </w:pPr>
            <w:r w:rsidRPr="002C0197">
              <w:rPr>
                <w:sz w:val="22"/>
                <w:szCs w:val="22"/>
              </w:rPr>
              <w:t>136 hours or 17 days</w:t>
            </w:r>
          </w:p>
        </w:tc>
      </w:tr>
      <w:tr w:rsidR="002C0197" w14:paraId="4FC79EF8" w14:textId="77777777" w:rsidTr="002C0197">
        <w:tc>
          <w:tcPr>
            <w:tcW w:w="4675" w:type="dxa"/>
          </w:tcPr>
          <w:p w14:paraId="3D8FBA22" w14:textId="63CCC9F3" w:rsidR="002C0197" w:rsidRPr="002C0197" w:rsidRDefault="002C0197" w:rsidP="002C0197">
            <w:pPr>
              <w:rPr>
                <w:sz w:val="22"/>
                <w:szCs w:val="22"/>
              </w:rPr>
            </w:pPr>
            <w:r w:rsidRPr="002C0197">
              <w:rPr>
                <w:sz w:val="22"/>
                <w:szCs w:val="22"/>
              </w:rPr>
              <w:t>6 years</w:t>
            </w:r>
          </w:p>
        </w:tc>
        <w:tc>
          <w:tcPr>
            <w:tcW w:w="4675" w:type="dxa"/>
          </w:tcPr>
          <w:p w14:paraId="4DE470C9" w14:textId="157899C0" w:rsidR="002C0197" w:rsidRPr="002C0197" w:rsidRDefault="002C0197" w:rsidP="002C0197">
            <w:pPr>
              <w:rPr>
                <w:sz w:val="22"/>
                <w:szCs w:val="22"/>
              </w:rPr>
            </w:pPr>
            <w:r w:rsidRPr="002C0197">
              <w:rPr>
                <w:sz w:val="22"/>
                <w:szCs w:val="22"/>
              </w:rPr>
              <w:t>160 hours or 20 days</w:t>
            </w:r>
          </w:p>
        </w:tc>
      </w:tr>
      <w:tr w:rsidR="002C0197" w14:paraId="13D82A1E" w14:textId="77777777" w:rsidTr="002C0197">
        <w:tc>
          <w:tcPr>
            <w:tcW w:w="4675" w:type="dxa"/>
          </w:tcPr>
          <w:p w14:paraId="3568B1F3" w14:textId="18E7341D" w:rsidR="002C0197" w:rsidRPr="002C0197" w:rsidRDefault="002C0197" w:rsidP="002C0197">
            <w:pPr>
              <w:rPr>
                <w:sz w:val="22"/>
                <w:szCs w:val="22"/>
              </w:rPr>
            </w:pPr>
            <w:r w:rsidRPr="002C0197">
              <w:rPr>
                <w:sz w:val="22"/>
                <w:szCs w:val="22"/>
              </w:rPr>
              <w:t>7 through 8 years</w:t>
            </w:r>
          </w:p>
        </w:tc>
        <w:tc>
          <w:tcPr>
            <w:tcW w:w="4675" w:type="dxa"/>
          </w:tcPr>
          <w:p w14:paraId="0C7F89DA" w14:textId="2669E976" w:rsidR="002C0197" w:rsidRPr="002C0197" w:rsidRDefault="002C0197" w:rsidP="002C0197">
            <w:pPr>
              <w:rPr>
                <w:sz w:val="22"/>
                <w:szCs w:val="22"/>
              </w:rPr>
            </w:pPr>
            <w:r w:rsidRPr="002C0197">
              <w:rPr>
                <w:sz w:val="22"/>
                <w:szCs w:val="22"/>
              </w:rPr>
              <w:t>168 hours or 21 days</w:t>
            </w:r>
          </w:p>
        </w:tc>
      </w:tr>
      <w:tr w:rsidR="002C0197" w14:paraId="33E9DC32" w14:textId="77777777" w:rsidTr="002C0197">
        <w:tc>
          <w:tcPr>
            <w:tcW w:w="4675" w:type="dxa"/>
          </w:tcPr>
          <w:p w14:paraId="27AB3F66" w14:textId="528018C6" w:rsidR="002C0197" w:rsidRPr="002C0197" w:rsidRDefault="002C0197" w:rsidP="002C0197">
            <w:pPr>
              <w:rPr>
                <w:sz w:val="22"/>
                <w:szCs w:val="22"/>
              </w:rPr>
            </w:pPr>
            <w:r w:rsidRPr="002C0197">
              <w:rPr>
                <w:sz w:val="22"/>
                <w:szCs w:val="22"/>
              </w:rPr>
              <w:t>9 through 10 years</w:t>
            </w:r>
          </w:p>
        </w:tc>
        <w:tc>
          <w:tcPr>
            <w:tcW w:w="4675" w:type="dxa"/>
          </w:tcPr>
          <w:p w14:paraId="6FABFBDA" w14:textId="7A6D0B1F" w:rsidR="002C0197" w:rsidRPr="002C0197" w:rsidRDefault="002C0197" w:rsidP="002C0197">
            <w:pPr>
              <w:rPr>
                <w:sz w:val="22"/>
                <w:szCs w:val="22"/>
              </w:rPr>
            </w:pPr>
            <w:r w:rsidRPr="002C0197">
              <w:rPr>
                <w:sz w:val="22"/>
                <w:szCs w:val="22"/>
              </w:rPr>
              <w:t>176 hours or 22 days</w:t>
            </w:r>
          </w:p>
        </w:tc>
      </w:tr>
      <w:tr w:rsidR="002C0197" w14:paraId="0F6997F1" w14:textId="77777777" w:rsidTr="002C0197">
        <w:tc>
          <w:tcPr>
            <w:tcW w:w="4675" w:type="dxa"/>
          </w:tcPr>
          <w:p w14:paraId="613590C4" w14:textId="42E4222E" w:rsidR="002C0197" w:rsidRPr="002C0197" w:rsidRDefault="002C0197" w:rsidP="002C0197">
            <w:pPr>
              <w:rPr>
                <w:sz w:val="22"/>
                <w:szCs w:val="22"/>
              </w:rPr>
            </w:pPr>
            <w:r w:rsidRPr="002C0197">
              <w:rPr>
                <w:sz w:val="22"/>
                <w:szCs w:val="22"/>
              </w:rPr>
              <w:t>11 years</w:t>
            </w:r>
          </w:p>
        </w:tc>
        <w:tc>
          <w:tcPr>
            <w:tcW w:w="4675" w:type="dxa"/>
          </w:tcPr>
          <w:p w14:paraId="5EFF9E52" w14:textId="0D23843D" w:rsidR="002C0197" w:rsidRPr="002C0197" w:rsidRDefault="002C0197" w:rsidP="002C0197">
            <w:pPr>
              <w:rPr>
                <w:sz w:val="22"/>
                <w:szCs w:val="22"/>
              </w:rPr>
            </w:pPr>
            <w:r w:rsidRPr="002C0197">
              <w:rPr>
                <w:sz w:val="22"/>
                <w:szCs w:val="22"/>
              </w:rPr>
              <w:t>200 hours or 25 days</w:t>
            </w:r>
          </w:p>
        </w:tc>
      </w:tr>
    </w:tbl>
    <w:p w14:paraId="635235CE" w14:textId="77777777" w:rsidR="002C0197" w:rsidRDefault="002C0197" w:rsidP="002C0197">
      <w:pPr>
        <w:spacing w:line="240" w:lineRule="auto"/>
        <w:rPr>
          <w:b/>
          <w:bCs/>
          <w:sz w:val="22"/>
          <w:szCs w:val="22"/>
        </w:rPr>
      </w:pPr>
    </w:p>
    <w:p w14:paraId="6BE8A8BB" w14:textId="77777777" w:rsidR="002C0197" w:rsidRDefault="002C0197" w:rsidP="002C0197">
      <w:pPr>
        <w:spacing w:line="240" w:lineRule="auto"/>
        <w:rPr>
          <w:sz w:val="22"/>
          <w:szCs w:val="22"/>
        </w:rPr>
      </w:pPr>
      <w:r w:rsidRPr="002C0197">
        <w:rPr>
          <w:sz w:val="22"/>
          <w:szCs w:val="22"/>
        </w:rPr>
        <w:t xml:space="preserve">Vacation accrued shall appear each pay period on the employee's payroll advice or as stated in the Employee Self-Service electronic record.  </w:t>
      </w:r>
    </w:p>
    <w:p w14:paraId="442C9527" w14:textId="77777777" w:rsidR="002C0197" w:rsidRDefault="002C0197" w:rsidP="002C0197">
      <w:pPr>
        <w:spacing w:line="240" w:lineRule="auto"/>
        <w:rPr>
          <w:sz w:val="22"/>
          <w:szCs w:val="22"/>
        </w:rPr>
      </w:pPr>
      <w:r w:rsidRPr="002C0197">
        <w:rPr>
          <w:sz w:val="22"/>
          <w:szCs w:val="22"/>
        </w:rPr>
        <w:t xml:space="preserve">A vacation accrual cap of 2 times their annual vacation accrual rate is applied to an eligible employee’s vacation balance each December after the last pay date of the year. Any amount above the cap on that date will be forfeited.  </w:t>
      </w:r>
    </w:p>
    <w:p w14:paraId="355AD49F" w14:textId="7D62C8F7" w:rsidR="002C0197" w:rsidRPr="002C0197" w:rsidRDefault="002C0197" w:rsidP="002C0197">
      <w:pPr>
        <w:spacing w:line="240" w:lineRule="auto"/>
        <w:rPr>
          <w:sz w:val="22"/>
          <w:szCs w:val="22"/>
        </w:rPr>
      </w:pPr>
      <w:r w:rsidRPr="002C0197">
        <w:rPr>
          <w:sz w:val="22"/>
          <w:szCs w:val="22"/>
        </w:rPr>
        <w:t xml:space="preserve">Vacation shall not accrue during the time an employee is laid off or during a period of </w:t>
      </w:r>
      <w:proofErr w:type="gramStart"/>
      <w:r w:rsidRPr="002C0197">
        <w:rPr>
          <w:sz w:val="22"/>
          <w:szCs w:val="22"/>
        </w:rPr>
        <w:t>an unpaid</w:t>
      </w:r>
      <w:proofErr w:type="gramEnd"/>
      <w:r w:rsidRPr="002C0197">
        <w:rPr>
          <w:sz w:val="22"/>
          <w:szCs w:val="22"/>
        </w:rPr>
        <w:t xml:space="preserve"> leave of absence. Accruals are calculated based on regular, non-overtime hours.  Employees must be paid their full FTE in regular and/or accrued paid leave time </w:t>
      </w:r>
      <w:proofErr w:type="gramStart"/>
      <w:r w:rsidRPr="002C0197">
        <w:rPr>
          <w:sz w:val="22"/>
          <w:szCs w:val="22"/>
        </w:rPr>
        <w:t>in order to</w:t>
      </w:r>
      <w:proofErr w:type="gramEnd"/>
      <w:r w:rsidRPr="002C0197">
        <w:rPr>
          <w:sz w:val="22"/>
          <w:szCs w:val="22"/>
        </w:rPr>
        <w:t xml:space="preserve"> receive their full vacation accrual. Employees must be paid a combination of regular and/or paid leave time totaling their normal work schedule in any given pay period to be eligible for an accrual. </w:t>
      </w:r>
    </w:p>
    <w:p w14:paraId="45AAD9A6" w14:textId="0ADFD7A7" w:rsidR="00231133" w:rsidRPr="007A0EA6" w:rsidRDefault="002C0197" w:rsidP="0031676B">
      <w:pPr>
        <w:pStyle w:val="Heading1"/>
        <w:spacing w:line="240" w:lineRule="auto"/>
        <w:rPr>
          <w:sz w:val="36"/>
          <w:szCs w:val="36"/>
        </w:rPr>
      </w:pPr>
      <w:r>
        <w:rPr>
          <w:sz w:val="36"/>
          <w:szCs w:val="36"/>
        </w:rPr>
        <w:t>Vacation Use</w:t>
      </w:r>
    </w:p>
    <w:p w14:paraId="12688071" w14:textId="77777777" w:rsidR="002C0197" w:rsidRDefault="002C0197" w:rsidP="002C0197">
      <w:pPr>
        <w:spacing w:line="240" w:lineRule="auto"/>
        <w:rPr>
          <w:sz w:val="22"/>
          <w:szCs w:val="22"/>
        </w:rPr>
      </w:pPr>
      <w:r w:rsidRPr="002C0197">
        <w:rPr>
          <w:sz w:val="22"/>
          <w:szCs w:val="22"/>
        </w:rPr>
        <w:t xml:space="preserve">Vacation is meant to be used for any time needed away from regularly scheduled work hours, excluding City recognized holidays, bereavement or time away that is eligible for the use of sick leave. This includes scheduled vacations, personal business or when pre-approved to be used for a personal or family member illness in the event of the exhaustion of sick leave. Employees may use vacation only after it has been earned and they may not borrow against future accruals. Vacation should be applied to their timesheet in accordance </w:t>
      </w:r>
      <w:proofErr w:type="gramStart"/>
      <w:r w:rsidRPr="002C0197">
        <w:rPr>
          <w:sz w:val="22"/>
          <w:szCs w:val="22"/>
        </w:rPr>
        <w:t>to</w:t>
      </w:r>
      <w:proofErr w:type="gramEnd"/>
      <w:r w:rsidRPr="002C0197">
        <w:rPr>
          <w:sz w:val="22"/>
          <w:szCs w:val="22"/>
        </w:rPr>
        <w:t xml:space="preserve"> their regular schedule of work, up to the employee’s FTE, and in no less than 15-minute increments.  Vacation hours cannot be applied to exceed the employee’s FTE.  Only vacation accrued in the employee’s bank prior to the pay period is available for use in that pay period.  </w:t>
      </w:r>
    </w:p>
    <w:p w14:paraId="19A3BDB6" w14:textId="77777777" w:rsidR="002C0197" w:rsidRDefault="002C0197" w:rsidP="002C0197">
      <w:pPr>
        <w:spacing w:line="240" w:lineRule="auto"/>
        <w:rPr>
          <w:sz w:val="22"/>
          <w:szCs w:val="22"/>
        </w:rPr>
      </w:pPr>
      <w:r w:rsidRPr="002C0197">
        <w:rPr>
          <w:sz w:val="22"/>
          <w:szCs w:val="22"/>
        </w:rPr>
        <w:t xml:space="preserve">The supervisor or their designee will approve the use of paid vacation providing a reasonable advance request was provided and based on departmental workload priorities.  Vacation time-off requests will also be balanced with staff-level requirements and previously approved vacation for other employees.  Organizational tenure may be a factor when granting vacation requests. </w:t>
      </w:r>
    </w:p>
    <w:p w14:paraId="73F9227B" w14:textId="77F8AA21" w:rsidR="002C0197" w:rsidRPr="002C0197" w:rsidRDefault="002C0197" w:rsidP="002C0197">
      <w:pPr>
        <w:spacing w:line="240" w:lineRule="auto"/>
        <w:rPr>
          <w:sz w:val="22"/>
          <w:szCs w:val="22"/>
        </w:rPr>
      </w:pPr>
      <w:r w:rsidRPr="002C0197">
        <w:rPr>
          <w:sz w:val="22"/>
          <w:szCs w:val="22"/>
        </w:rPr>
        <w:t xml:space="preserve">Employees in a probationary status may use accrued vacation providing approval is granted by their supervisor.  </w:t>
      </w:r>
    </w:p>
    <w:p w14:paraId="4F89DD80" w14:textId="1AD09E21" w:rsidR="00231133" w:rsidRPr="007A0EA6" w:rsidRDefault="002C0197" w:rsidP="0031676B">
      <w:pPr>
        <w:pStyle w:val="Heading1"/>
        <w:spacing w:line="240" w:lineRule="auto"/>
        <w:rPr>
          <w:sz w:val="36"/>
          <w:szCs w:val="36"/>
        </w:rPr>
      </w:pPr>
      <w:r>
        <w:rPr>
          <w:sz w:val="36"/>
          <w:szCs w:val="36"/>
        </w:rPr>
        <w:t>Vacation Payout Prior to Separation of Employment</w:t>
      </w:r>
    </w:p>
    <w:p w14:paraId="79FFF31B" w14:textId="77777777" w:rsidR="004278A3" w:rsidRDefault="004278A3" w:rsidP="004278A3">
      <w:pPr>
        <w:spacing w:line="240" w:lineRule="auto"/>
        <w:rPr>
          <w:sz w:val="22"/>
          <w:szCs w:val="22"/>
        </w:rPr>
      </w:pPr>
      <w:r w:rsidRPr="004278A3">
        <w:rPr>
          <w:sz w:val="22"/>
          <w:szCs w:val="22"/>
        </w:rPr>
        <w:t xml:space="preserve">Accrued unused vacation will be paid out at termination, retirement or when an employee transfers to a non-benefited position that does not accrue leave benefits. If an employee transfers from a sick and vacation covered position to a position only offering Paid Time Off (PTO), their vacation will be converted to PTO as outlined in the PTO policy. </w:t>
      </w:r>
    </w:p>
    <w:p w14:paraId="44FE91B5" w14:textId="77777777" w:rsidR="004278A3" w:rsidRDefault="004278A3" w:rsidP="004278A3">
      <w:pPr>
        <w:spacing w:line="240" w:lineRule="auto"/>
        <w:rPr>
          <w:sz w:val="22"/>
          <w:szCs w:val="22"/>
        </w:rPr>
      </w:pPr>
      <w:r w:rsidRPr="004278A3">
        <w:rPr>
          <w:sz w:val="22"/>
          <w:szCs w:val="22"/>
        </w:rPr>
        <w:lastRenderedPageBreak/>
        <w:t xml:space="preserve">Non-exempt employees who give a minimum of </w:t>
      </w:r>
      <w:proofErr w:type="gramStart"/>
      <w:r w:rsidRPr="004278A3">
        <w:rPr>
          <w:sz w:val="22"/>
          <w:szCs w:val="22"/>
        </w:rPr>
        <w:t>a 14</w:t>
      </w:r>
      <w:proofErr w:type="gramEnd"/>
      <w:r w:rsidRPr="004278A3">
        <w:rPr>
          <w:sz w:val="22"/>
          <w:szCs w:val="22"/>
        </w:rPr>
        <w:t xml:space="preserve">-day working notice </w:t>
      </w:r>
      <w:r w:rsidRPr="004278A3">
        <w:rPr>
          <w:rStyle w:val="FootnoteReference"/>
          <w:sz w:val="22"/>
          <w:szCs w:val="22"/>
        </w:rPr>
        <w:footnoteReference w:id="1"/>
      </w:r>
      <w:r w:rsidRPr="004278A3">
        <w:rPr>
          <w:sz w:val="22"/>
          <w:szCs w:val="22"/>
        </w:rPr>
        <w:t xml:space="preserve"> and exempt employees who give a minimum of </w:t>
      </w:r>
      <w:proofErr w:type="gramStart"/>
      <w:r w:rsidRPr="004278A3">
        <w:rPr>
          <w:sz w:val="22"/>
          <w:szCs w:val="22"/>
        </w:rPr>
        <w:t>a 28</w:t>
      </w:r>
      <w:proofErr w:type="gramEnd"/>
      <w:r w:rsidRPr="004278A3">
        <w:rPr>
          <w:sz w:val="22"/>
          <w:szCs w:val="22"/>
        </w:rPr>
        <w:t xml:space="preserve">-day working notice, may submit a written request to Human Resources to remain on payroll using vacation or compensatory time for up to four calendar weeks after their last day of employment. This four calendar week runout period will follow the employee’s regular work schedule.  Any remaining vacation </w:t>
      </w:r>
      <w:proofErr w:type="gramStart"/>
      <w:r w:rsidRPr="004278A3">
        <w:rPr>
          <w:sz w:val="22"/>
          <w:szCs w:val="22"/>
        </w:rPr>
        <w:t>banked</w:t>
      </w:r>
      <w:proofErr w:type="gramEnd"/>
      <w:r w:rsidRPr="004278A3">
        <w:rPr>
          <w:sz w:val="22"/>
          <w:szCs w:val="22"/>
        </w:rPr>
        <w:t xml:space="preserve"> will be paid out on the final paycheck at the employee’s base rate of pay in effect at that time. Employees choosing to </w:t>
      </w:r>
      <w:proofErr w:type="gramStart"/>
      <w:r w:rsidRPr="004278A3">
        <w:rPr>
          <w:sz w:val="22"/>
          <w:szCs w:val="22"/>
        </w:rPr>
        <w:t>runout</w:t>
      </w:r>
      <w:proofErr w:type="gramEnd"/>
      <w:r w:rsidRPr="004278A3">
        <w:rPr>
          <w:sz w:val="22"/>
          <w:szCs w:val="22"/>
        </w:rPr>
        <w:t xml:space="preserve"> time would not be eligible for a performance review increase that falls within the runout period but would be eligible for a general salary increase that applies City-wide.</w:t>
      </w:r>
    </w:p>
    <w:p w14:paraId="1A8E9DD0" w14:textId="01D434E9" w:rsidR="004278A3" w:rsidRPr="004278A3" w:rsidRDefault="004278A3" w:rsidP="004278A3">
      <w:pPr>
        <w:spacing w:line="240" w:lineRule="auto"/>
        <w:rPr>
          <w:sz w:val="22"/>
          <w:szCs w:val="22"/>
        </w:rPr>
      </w:pPr>
      <w:r w:rsidRPr="004278A3">
        <w:rPr>
          <w:sz w:val="22"/>
          <w:szCs w:val="22"/>
        </w:rPr>
        <w:t xml:space="preserve">Vacation payouts are subject to all federal and state withholding requirements and a Minnesota State Retirement System (MSRS) Health Care Savings Plan (HCSP) agreement in place at the time of payout.  </w:t>
      </w:r>
    </w:p>
    <w:p w14:paraId="7D1D824C" w14:textId="002DF4EA" w:rsidR="00EC74B9" w:rsidRPr="007A0EA6" w:rsidRDefault="00EC74B9" w:rsidP="0031676B">
      <w:pPr>
        <w:pStyle w:val="Heading1"/>
        <w:spacing w:line="240" w:lineRule="auto"/>
        <w:rPr>
          <w:sz w:val="36"/>
          <w:szCs w:val="36"/>
        </w:rPr>
      </w:pPr>
      <w:r w:rsidRPr="007A0EA6">
        <w:rPr>
          <w:sz w:val="36"/>
          <w:szCs w:val="36"/>
        </w:rPr>
        <w:t>Associated Forms</w:t>
      </w:r>
    </w:p>
    <w:p w14:paraId="39486CEB" w14:textId="56BFF3F1" w:rsidR="00EC74B9" w:rsidRPr="0031676B" w:rsidRDefault="00EC74B9" w:rsidP="0031676B">
      <w:pPr>
        <w:spacing w:line="240" w:lineRule="auto"/>
        <w:rPr>
          <w:sz w:val="22"/>
          <w:szCs w:val="22"/>
        </w:rPr>
      </w:pPr>
      <w:r w:rsidRPr="0031676B">
        <w:rPr>
          <w:sz w:val="22"/>
          <w:szCs w:val="22"/>
        </w:rPr>
        <w:t xml:space="preserve">All forms associated with this policy can be found on Rochester@Work. </w:t>
      </w:r>
    </w:p>
    <w:p w14:paraId="5AE8E9B6" w14:textId="3E4C9EBD" w:rsidR="00EC74B9" w:rsidRPr="0031676B" w:rsidRDefault="002C0197" w:rsidP="0031676B">
      <w:pPr>
        <w:pStyle w:val="ListParagraph"/>
        <w:numPr>
          <w:ilvl w:val="0"/>
          <w:numId w:val="11"/>
        </w:numPr>
        <w:spacing w:line="240" w:lineRule="auto"/>
        <w:rPr>
          <w:sz w:val="22"/>
          <w:szCs w:val="22"/>
        </w:rPr>
      </w:pPr>
      <w:r>
        <w:rPr>
          <w:sz w:val="22"/>
          <w:szCs w:val="22"/>
        </w:rPr>
        <w:t>N/A</w:t>
      </w:r>
    </w:p>
    <w:p w14:paraId="600E3B1C" w14:textId="3EB9E7CC" w:rsidR="00EC74B9" w:rsidRPr="007A0EA6" w:rsidRDefault="00EC74B9" w:rsidP="0031676B">
      <w:pPr>
        <w:pStyle w:val="Heading1"/>
        <w:spacing w:line="240" w:lineRule="auto"/>
        <w:rPr>
          <w:sz w:val="36"/>
          <w:szCs w:val="36"/>
        </w:rPr>
      </w:pPr>
      <w:r w:rsidRPr="007A0EA6">
        <w:rPr>
          <w:sz w:val="36"/>
          <w:szCs w:val="36"/>
        </w:rPr>
        <w:t xml:space="preserve">Legal &amp; Statutory Authority </w:t>
      </w:r>
    </w:p>
    <w:p w14:paraId="43FB9E38" w14:textId="7E5EC14B" w:rsidR="00EC74B9" w:rsidRPr="0031676B" w:rsidRDefault="002C0197" w:rsidP="0031676B">
      <w:pPr>
        <w:pStyle w:val="ListParagraph"/>
        <w:numPr>
          <w:ilvl w:val="0"/>
          <w:numId w:val="11"/>
        </w:numPr>
        <w:spacing w:line="240" w:lineRule="auto"/>
        <w:rPr>
          <w:sz w:val="22"/>
          <w:szCs w:val="22"/>
        </w:rPr>
      </w:pPr>
      <w:r>
        <w:rPr>
          <w:sz w:val="22"/>
          <w:szCs w:val="22"/>
        </w:rPr>
        <w:t>N/A</w:t>
      </w:r>
    </w:p>
    <w:p w14:paraId="320AC9D9" w14:textId="1D73B341" w:rsidR="00EC74B9" w:rsidRPr="007A0EA6" w:rsidRDefault="00EC74B9" w:rsidP="0031676B">
      <w:pPr>
        <w:pStyle w:val="Heading1"/>
        <w:spacing w:line="240" w:lineRule="auto"/>
        <w:rPr>
          <w:sz w:val="36"/>
          <w:szCs w:val="32"/>
        </w:rPr>
      </w:pPr>
      <w:r w:rsidRPr="007A0EA6">
        <w:rPr>
          <w:sz w:val="36"/>
          <w:szCs w:val="32"/>
        </w:rPr>
        <w:t>Approval &amp; Policy Revisions</w:t>
      </w:r>
    </w:p>
    <w:p w14:paraId="5B552564" w14:textId="4850E679" w:rsidR="00EC74B9" w:rsidRPr="0031676B" w:rsidRDefault="00EC74B9" w:rsidP="0031676B">
      <w:pPr>
        <w:tabs>
          <w:tab w:val="left" w:pos="6030"/>
        </w:tabs>
        <w:spacing w:line="240" w:lineRule="auto"/>
        <w:rPr>
          <w:sz w:val="22"/>
          <w:szCs w:val="22"/>
        </w:rPr>
      </w:pPr>
      <w:r w:rsidRPr="0031676B">
        <w:rPr>
          <w:sz w:val="22"/>
          <w:szCs w:val="22"/>
        </w:rPr>
        <w:t xml:space="preserve">Policy revisions approved on </w:t>
      </w:r>
      <w:r w:rsidR="002C0197">
        <w:rPr>
          <w:sz w:val="22"/>
          <w:szCs w:val="22"/>
        </w:rPr>
        <w:t>September 26, 2025</w:t>
      </w:r>
    </w:p>
    <w:p w14:paraId="43F98477" w14:textId="6D8294C8" w:rsidR="00EC74B9" w:rsidRDefault="00EC74B9" w:rsidP="0031676B">
      <w:pPr>
        <w:tabs>
          <w:tab w:val="left" w:pos="6030"/>
        </w:tabs>
        <w:spacing w:line="240" w:lineRule="auto"/>
      </w:pPr>
      <w:r w:rsidRPr="00EC74B9">
        <w:rPr>
          <w:noProof/>
        </w:rPr>
        <w:drawing>
          <wp:inline distT="0" distB="0" distL="0" distR="0" wp14:anchorId="4592A45B" wp14:editId="16F2D889">
            <wp:extent cx="2689410" cy="609600"/>
            <wp:effectExtent l="0" t="0" r="0" b="0"/>
            <wp:docPr id="672040590" name="Picture 2" descr="Alison Zelms, City Administrator's signature, which shows approval of the poli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40590" name="Picture 2" descr="Alison Zelms, City Administrator's signature, which shows approval of the policy.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3814" cy="612865"/>
                    </a:xfrm>
                    <a:prstGeom prst="rect">
                      <a:avLst/>
                    </a:prstGeom>
                    <a:noFill/>
                    <a:ln>
                      <a:noFill/>
                    </a:ln>
                  </pic:spPr>
                </pic:pic>
              </a:graphicData>
            </a:graphic>
          </wp:inline>
        </w:drawing>
      </w:r>
    </w:p>
    <w:p w14:paraId="15BEC363" w14:textId="158FD55A" w:rsidR="003F5163" w:rsidRPr="0031676B" w:rsidRDefault="00EC74B9" w:rsidP="0031676B">
      <w:pPr>
        <w:tabs>
          <w:tab w:val="left" w:pos="6030"/>
        </w:tabs>
        <w:spacing w:line="240" w:lineRule="auto"/>
        <w:rPr>
          <w:sz w:val="22"/>
          <w:szCs w:val="22"/>
        </w:rPr>
      </w:pPr>
      <w:r w:rsidRPr="0031676B">
        <w:rPr>
          <w:sz w:val="22"/>
          <w:szCs w:val="22"/>
        </w:rPr>
        <w:t>Alison Zelms</w:t>
      </w:r>
      <w:r w:rsidR="003F5163" w:rsidRPr="0031676B">
        <w:rPr>
          <w:sz w:val="22"/>
          <w:szCs w:val="22"/>
        </w:rPr>
        <w:t>, City Administrator</w:t>
      </w:r>
    </w:p>
    <w:p w14:paraId="70499FAF" w14:textId="693E7660" w:rsidR="003F5163" w:rsidRDefault="003F5163" w:rsidP="0031676B">
      <w:pPr>
        <w:pStyle w:val="Heading2"/>
        <w:spacing w:line="240" w:lineRule="auto"/>
        <w:rPr>
          <w:rStyle w:val="SubtleEmphasis"/>
          <w:i w:val="0"/>
          <w:iCs w:val="0"/>
          <w:color w:val="auto"/>
          <w:sz w:val="24"/>
          <w:szCs w:val="22"/>
        </w:rPr>
      </w:pPr>
      <w:r w:rsidRPr="003F5163">
        <w:rPr>
          <w:rStyle w:val="SubtleEmphasis"/>
          <w:i w:val="0"/>
          <w:iCs w:val="0"/>
          <w:color w:val="auto"/>
          <w:sz w:val="24"/>
          <w:szCs w:val="22"/>
        </w:rPr>
        <w:t>Policy History</w:t>
      </w:r>
    </w:p>
    <w:p w14:paraId="4B11AE24" w14:textId="146152CB" w:rsidR="003F5163" w:rsidRPr="0031676B" w:rsidRDefault="003F5163" w:rsidP="0031676B">
      <w:pPr>
        <w:spacing w:line="240" w:lineRule="auto"/>
        <w:rPr>
          <w:sz w:val="22"/>
          <w:szCs w:val="22"/>
        </w:rPr>
      </w:pPr>
      <w:r w:rsidRPr="0031676B">
        <w:rPr>
          <w:sz w:val="22"/>
          <w:szCs w:val="22"/>
        </w:rPr>
        <w:t xml:space="preserve">Current Revision: </w:t>
      </w:r>
      <w:r w:rsidR="002C0197">
        <w:rPr>
          <w:sz w:val="22"/>
          <w:szCs w:val="22"/>
        </w:rPr>
        <w:t>09/2025</w:t>
      </w:r>
    </w:p>
    <w:p w14:paraId="6393660B" w14:textId="68F4F619" w:rsidR="003F5163" w:rsidRPr="0031676B" w:rsidRDefault="003F5163" w:rsidP="0031676B">
      <w:pPr>
        <w:spacing w:line="240" w:lineRule="auto"/>
        <w:rPr>
          <w:sz w:val="22"/>
          <w:szCs w:val="22"/>
        </w:rPr>
      </w:pPr>
      <w:r w:rsidRPr="0031676B">
        <w:rPr>
          <w:sz w:val="22"/>
          <w:szCs w:val="22"/>
        </w:rPr>
        <w:t>Previous Revision(s):</w:t>
      </w:r>
      <w:r w:rsidR="002C0197">
        <w:rPr>
          <w:sz w:val="22"/>
          <w:szCs w:val="22"/>
        </w:rPr>
        <w:t xml:space="preserve"> 02/2003, 04/2004, 10/2019, 05/2020, 09/2021</w:t>
      </w:r>
    </w:p>
    <w:sectPr w:rsidR="003F5163" w:rsidRPr="0031676B" w:rsidSect="00854780">
      <w:type w:val="continuous"/>
      <w:pgSz w:w="12240" w:h="15840"/>
      <w:pgMar w:top="720" w:right="1440" w:bottom="1440" w:left="1440" w:header="59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8D4B" w14:textId="77777777" w:rsidR="00054D3A" w:rsidRDefault="00054D3A" w:rsidP="00304D1F">
      <w:r>
        <w:separator/>
      </w:r>
    </w:p>
  </w:endnote>
  <w:endnote w:type="continuationSeparator" w:id="0">
    <w:p w14:paraId="7D0733ED" w14:textId="77777777" w:rsidR="00054D3A" w:rsidRDefault="00054D3A" w:rsidP="0030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9F0D" w14:textId="77777777" w:rsidR="00054D3A" w:rsidRDefault="00054D3A" w:rsidP="00304D1F">
      <w:r>
        <w:separator/>
      </w:r>
    </w:p>
  </w:footnote>
  <w:footnote w:type="continuationSeparator" w:id="0">
    <w:p w14:paraId="546F7412" w14:textId="77777777" w:rsidR="00054D3A" w:rsidRDefault="00054D3A" w:rsidP="00304D1F">
      <w:r>
        <w:continuationSeparator/>
      </w:r>
    </w:p>
  </w:footnote>
  <w:footnote w:id="1">
    <w:p w14:paraId="6C48E543" w14:textId="77777777" w:rsidR="004278A3" w:rsidRDefault="004278A3" w:rsidP="004278A3">
      <w:pPr>
        <w:pStyle w:val="FootnoteText"/>
      </w:pPr>
      <w:r>
        <w:rPr>
          <w:rStyle w:val="FootnoteReference"/>
        </w:rPr>
        <w:footnoteRef/>
      </w:r>
      <w:r>
        <w:t xml:space="preserve"> </w:t>
      </w:r>
      <w:r w:rsidRPr="00DD6087">
        <w:rPr>
          <w:i/>
          <w:iCs/>
        </w:rPr>
        <w:t xml:space="preserve">A working notice consists of </w:t>
      </w:r>
      <w:r>
        <w:rPr>
          <w:i/>
          <w:iCs/>
        </w:rPr>
        <w:t xml:space="preserve">an </w:t>
      </w:r>
      <w:r w:rsidRPr="00DD6087">
        <w:rPr>
          <w:i/>
          <w:iCs/>
        </w:rPr>
        <w:t xml:space="preserve">employee </w:t>
      </w:r>
      <w:r>
        <w:rPr>
          <w:i/>
          <w:iCs/>
        </w:rPr>
        <w:t>continuing to work their scheduled shifts and perform</w:t>
      </w:r>
      <w:r w:rsidRPr="00DD6087">
        <w:rPr>
          <w:i/>
          <w:iCs/>
        </w:rPr>
        <w:t xml:space="preserve"> their </w:t>
      </w:r>
      <w:r>
        <w:rPr>
          <w:i/>
          <w:iCs/>
        </w:rPr>
        <w:t xml:space="preserve">regular </w:t>
      </w:r>
      <w:r w:rsidRPr="00DD6087">
        <w:rPr>
          <w:i/>
          <w:iCs/>
        </w:rPr>
        <w:t>work duties for a minimum of a 2-week period</w:t>
      </w:r>
      <w:r>
        <w:rPr>
          <w:i/>
          <w:iCs/>
        </w:rPr>
        <w:t xml:space="preserve"> for non-exempt employees and a 4-week period for exempt employees. Leave time does not count toward the working notice requirement.</w:t>
      </w:r>
      <w:r w:rsidRPr="00DD6087">
        <w:rPr>
          <w:i/>
          <w:i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411"/>
    <w:multiLevelType w:val="multilevel"/>
    <w:tmpl w:val="26A621AA"/>
    <w:lvl w:ilvl="0">
      <w:start w:val="7"/>
      <w:numFmt w:val="decimal"/>
      <w:lvlText w:val="%1"/>
      <w:lvlJc w:val="left"/>
      <w:pPr>
        <w:ind w:left="585" w:hanging="585"/>
      </w:pPr>
      <w:rPr>
        <w:rFonts w:hint="default"/>
      </w:rPr>
    </w:lvl>
    <w:lvl w:ilvl="1">
      <w:start w:val="3"/>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42329"/>
    <w:multiLevelType w:val="hybridMultilevel"/>
    <w:tmpl w:val="3508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05962"/>
    <w:multiLevelType w:val="hybridMultilevel"/>
    <w:tmpl w:val="0C84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84755"/>
    <w:multiLevelType w:val="hybridMultilevel"/>
    <w:tmpl w:val="952C2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7375F"/>
    <w:multiLevelType w:val="hybridMultilevel"/>
    <w:tmpl w:val="07488E86"/>
    <w:lvl w:ilvl="0" w:tplc="8A1CE20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A10D1C"/>
    <w:multiLevelType w:val="hybridMultilevel"/>
    <w:tmpl w:val="6D3C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FE84B0A"/>
    <w:multiLevelType w:val="hybridMultilevel"/>
    <w:tmpl w:val="1E9A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E42C9B"/>
    <w:multiLevelType w:val="hybridMultilevel"/>
    <w:tmpl w:val="EA90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E7947"/>
    <w:multiLevelType w:val="hybridMultilevel"/>
    <w:tmpl w:val="269E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905FA"/>
    <w:multiLevelType w:val="hybridMultilevel"/>
    <w:tmpl w:val="E884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0443403">
    <w:abstractNumId w:val="5"/>
  </w:num>
  <w:num w:numId="2" w16cid:durableId="1177840911">
    <w:abstractNumId w:val="5"/>
  </w:num>
  <w:num w:numId="3" w16cid:durableId="1600986767">
    <w:abstractNumId w:val="1"/>
  </w:num>
  <w:num w:numId="4" w16cid:durableId="1991249410">
    <w:abstractNumId w:val="0"/>
  </w:num>
  <w:num w:numId="5" w16cid:durableId="1842621057">
    <w:abstractNumId w:val="8"/>
  </w:num>
  <w:num w:numId="6" w16cid:durableId="674042829">
    <w:abstractNumId w:val="7"/>
  </w:num>
  <w:num w:numId="7" w16cid:durableId="1606842324">
    <w:abstractNumId w:val="6"/>
  </w:num>
  <w:num w:numId="8" w16cid:durableId="1686594550">
    <w:abstractNumId w:val="3"/>
  </w:num>
  <w:num w:numId="9" w16cid:durableId="1986427474">
    <w:abstractNumId w:val="9"/>
  </w:num>
  <w:num w:numId="10" w16cid:durableId="1883976744">
    <w:abstractNumId w:val="4"/>
  </w:num>
  <w:num w:numId="11" w16cid:durableId="1014645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33"/>
    <w:rsid w:val="00016196"/>
    <w:rsid w:val="00021537"/>
    <w:rsid w:val="00024448"/>
    <w:rsid w:val="00027D6D"/>
    <w:rsid w:val="00045D9D"/>
    <w:rsid w:val="00054D3A"/>
    <w:rsid w:val="000A4112"/>
    <w:rsid w:val="000C2EFD"/>
    <w:rsid w:val="000C4069"/>
    <w:rsid w:val="000E540F"/>
    <w:rsid w:val="001125D6"/>
    <w:rsid w:val="00116F6D"/>
    <w:rsid w:val="00142A43"/>
    <w:rsid w:val="001441DB"/>
    <w:rsid w:val="0017283E"/>
    <w:rsid w:val="00173B1D"/>
    <w:rsid w:val="001936CB"/>
    <w:rsid w:val="001A5440"/>
    <w:rsid w:val="001B47EE"/>
    <w:rsid w:val="001C42E7"/>
    <w:rsid w:val="001D5DA6"/>
    <w:rsid w:val="00204D63"/>
    <w:rsid w:val="00223C1A"/>
    <w:rsid w:val="00224641"/>
    <w:rsid w:val="00231133"/>
    <w:rsid w:val="0023384B"/>
    <w:rsid w:val="00282C02"/>
    <w:rsid w:val="00295B5B"/>
    <w:rsid w:val="002A0948"/>
    <w:rsid w:val="002B1571"/>
    <w:rsid w:val="002B57E4"/>
    <w:rsid w:val="002C0197"/>
    <w:rsid w:val="002C3EF1"/>
    <w:rsid w:val="00301B30"/>
    <w:rsid w:val="00304D1F"/>
    <w:rsid w:val="0031676B"/>
    <w:rsid w:val="00331EF7"/>
    <w:rsid w:val="00332659"/>
    <w:rsid w:val="00340E1E"/>
    <w:rsid w:val="00353D56"/>
    <w:rsid w:val="00385A3B"/>
    <w:rsid w:val="0038630C"/>
    <w:rsid w:val="003A6E9F"/>
    <w:rsid w:val="003B7987"/>
    <w:rsid w:val="003D4061"/>
    <w:rsid w:val="003F5163"/>
    <w:rsid w:val="00402844"/>
    <w:rsid w:val="00405FBA"/>
    <w:rsid w:val="00421F7E"/>
    <w:rsid w:val="00427530"/>
    <w:rsid w:val="004278A3"/>
    <w:rsid w:val="004307CB"/>
    <w:rsid w:val="004343D7"/>
    <w:rsid w:val="00460298"/>
    <w:rsid w:val="0046203B"/>
    <w:rsid w:val="0047304B"/>
    <w:rsid w:val="00481ABE"/>
    <w:rsid w:val="00490190"/>
    <w:rsid w:val="00495207"/>
    <w:rsid w:val="004A7492"/>
    <w:rsid w:val="004C3BFD"/>
    <w:rsid w:val="004C6431"/>
    <w:rsid w:val="004E3B67"/>
    <w:rsid w:val="004E6BB9"/>
    <w:rsid w:val="00513E0B"/>
    <w:rsid w:val="0051571F"/>
    <w:rsid w:val="005203BB"/>
    <w:rsid w:val="00554416"/>
    <w:rsid w:val="00580C59"/>
    <w:rsid w:val="0058108E"/>
    <w:rsid w:val="005D4AD7"/>
    <w:rsid w:val="005E7CCB"/>
    <w:rsid w:val="005F480E"/>
    <w:rsid w:val="00602D11"/>
    <w:rsid w:val="00603215"/>
    <w:rsid w:val="006174FF"/>
    <w:rsid w:val="00621F85"/>
    <w:rsid w:val="00636A84"/>
    <w:rsid w:val="00645E53"/>
    <w:rsid w:val="00663633"/>
    <w:rsid w:val="006671A2"/>
    <w:rsid w:val="006867B1"/>
    <w:rsid w:val="00706417"/>
    <w:rsid w:val="00717428"/>
    <w:rsid w:val="00722CCA"/>
    <w:rsid w:val="00740C16"/>
    <w:rsid w:val="007504A8"/>
    <w:rsid w:val="00751F62"/>
    <w:rsid w:val="00764998"/>
    <w:rsid w:val="00772F91"/>
    <w:rsid w:val="007733CB"/>
    <w:rsid w:val="0077650D"/>
    <w:rsid w:val="00776524"/>
    <w:rsid w:val="007836E2"/>
    <w:rsid w:val="007A0EA6"/>
    <w:rsid w:val="007A6809"/>
    <w:rsid w:val="007B096F"/>
    <w:rsid w:val="007B1499"/>
    <w:rsid w:val="007D452E"/>
    <w:rsid w:val="007F370B"/>
    <w:rsid w:val="00817E2E"/>
    <w:rsid w:val="00854780"/>
    <w:rsid w:val="0086239A"/>
    <w:rsid w:val="00881941"/>
    <w:rsid w:val="0089529F"/>
    <w:rsid w:val="008A08F2"/>
    <w:rsid w:val="008C0220"/>
    <w:rsid w:val="008E5085"/>
    <w:rsid w:val="008F05B3"/>
    <w:rsid w:val="008F72BB"/>
    <w:rsid w:val="009115B2"/>
    <w:rsid w:val="00923E96"/>
    <w:rsid w:val="00926655"/>
    <w:rsid w:val="009344D9"/>
    <w:rsid w:val="00955CAE"/>
    <w:rsid w:val="009A296D"/>
    <w:rsid w:val="009B3448"/>
    <w:rsid w:val="009F0FC2"/>
    <w:rsid w:val="00A010C6"/>
    <w:rsid w:val="00A05B6F"/>
    <w:rsid w:val="00A27E4E"/>
    <w:rsid w:val="00A33759"/>
    <w:rsid w:val="00A41F64"/>
    <w:rsid w:val="00A553B6"/>
    <w:rsid w:val="00A7445F"/>
    <w:rsid w:val="00A818B5"/>
    <w:rsid w:val="00A85119"/>
    <w:rsid w:val="00A90506"/>
    <w:rsid w:val="00A956E8"/>
    <w:rsid w:val="00AB1FC2"/>
    <w:rsid w:val="00AE3ECD"/>
    <w:rsid w:val="00AF3CCF"/>
    <w:rsid w:val="00B0215A"/>
    <w:rsid w:val="00B11FBD"/>
    <w:rsid w:val="00B42D09"/>
    <w:rsid w:val="00B5676A"/>
    <w:rsid w:val="00B6073E"/>
    <w:rsid w:val="00B93779"/>
    <w:rsid w:val="00B951EA"/>
    <w:rsid w:val="00BC03DE"/>
    <w:rsid w:val="00BC6072"/>
    <w:rsid w:val="00BF6D24"/>
    <w:rsid w:val="00C06037"/>
    <w:rsid w:val="00C24A2A"/>
    <w:rsid w:val="00C45EB2"/>
    <w:rsid w:val="00C5787B"/>
    <w:rsid w:val="00C61A03"/>
    <w:rsid w:val="00C6513D"/>
    <w:rsid w:val="00C65665"/>
    <w:rsid w:val="00C85759"/>
    <w:rsid w:val="00CB183E"/>
    <w:rsid w:val="00CB47CD"/>
    <w:rsid w:val="00CD3397"/>
    <w:rsid w:val="00D02145"/>
    <w:rsid w:val="00D338D6"/>
    <w:rsid w:val="00D51BE0"/>
    <w:rsid w:val="00D563FA"/>
    <w:rsid w:val="00D75A5A"/>
    <w:rsid w:val="00D97A54"/>
    <w:rsid w:val="00D97C45"/>
    <w:rsid w:val="00DA3E06"/>
    <w:rsid w:val="00DB4673"/>
    <w:rsid w:val="00DB76A6"/>
    <w:rsid w:val="00DC2ED9"/>
    <w:rsid w:val="00DD3CA5"/>
    <w:rsid w:val="00DE6355"/>
    <w:rsid w:val="00DF6311"/>
    <w:rsid w:val="00E36189"/>
    <w:rsid w:val="00E40D1F"/>
    <w:rsid w:val="00E61CD6"/>
    <w:rsid w:val="00E7102A"/>
    <w:rsid w:val="00E77456"/>
    <w:rsid w:val="00EB140A"/>
    <w:rsid w:val="00EC217D"/>
    <w:rsid w:val="00EC74B9"/>
    <w:rsid w:val="00ED1341"/>
    <w:rsid w:val="00ED1973"/>
    <w:rsid w:val="00ED1A85"/>
    <w:rsid w:val="00ED1EC9"/>
    <w:rsid w:val="00ED27F2"/>
    <w:rsid w:val="00EE15ED"/>
    <w:rsid w:val="00EE67AB"/>
    <w:rsid w:val="00EF2A10"/>
    <w:rsid w:val="00F65181"/>
    <w:rsid w:val="00F851CD"/>
    <w:rsid w:val="00F86062"/>
    <w:rsid w:val="00FA3DDD"/>
    <w:rsid w:val="00FB5978"/>
    <w:rsid w:val="00FD4D71"/>
    <w:rsid w:val="00FD5E3E"/>
    <w:rsid w:val="00FE594B"/>
    <w:rsid w:val="00FE69BB"/>
    <w:rsid w:val="00FF1BFA"/>
    <w:rsid w:val="00FF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BA43C"/>
  <w15:chartTrackingRefBased/>
  <w15:docId w15:val="{0FDD8E88-156E-43C3-A15A-DB75F5D0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779"/>
    <w:pPr>
      <w:spacing w:after="120"/>
    </w:pPr>
    <w:rPr>
      <w:rFonts w:ascii="Arial" w:hAnsi="Arial" w:cs="Arial"/>
    </w:rPr>
  </w:style>
  <w:style w:type="paragraph" w:styleId="Heading1">
    <w:name w:val="heading 1"/>
    <w:basedOn w:val="Normal"/>
    <w:next w:val="Normal"/>
    <w:link w:val="Heading1Char"/>
    <w:uiPriority w:val="9"/>
    <w:qFormat/>
    <w:rsid w:val="004C3BFD"/>
    <w:pPr>
      <w:keepNext/>
      <w:keepLines/>
      <w:spacing w:before="240" w:after="80"/>
      <w:outlineLvl w:val="0"/>
    </w:pPr>
    <w:rPr>
      <w:rFonts w:eastAsiaTheme="majorEastAsia"/>
      <w:b/>
      <w:bCs/>
      <w:color w:val="00586F" w:themeColor="text2"/>
      <w:sz w:val="44"/>
      <w:szCs w:val="40"/>
    </w:rPr>
  </w:style>
  <w:style w:type="paragraph" w:styleId="Heading2">
    <w:name w:val="heading 2"/>
    <w:basedOn w:val="Normal"/>
    <w:next w:val="Normal"/>
    <w:link w:val="Heading2Char"/>
    <w:uiPriority w:val="9"/>
    <w:unhideWhenUsed/>
    <w:qFormat/>
    <w:rsid w:val="009A296D"/>
    <w:pPr>
      <w:keepNext/>
      <w:keepLines/>
      <w:spacing w:before="160" w:after="80"/>
      <w:outlineLvl w:val="1"/>
    </w:pPr>
    <w:rPr>
      <w:rFonts w:eastAsiaTheme="majorEastAsia"/>
      <w:b/>
      <w:bCs/>
      <w:color w:val="00586F" w:themeColor="text2"/>
      <w:sz w:val="36"/>
      <w:szCs w:val="32"/>
    </w:rPr>
  </w:style>
  <w:style w:type="paragraph" w:styleId="Heading3">
    <w:name w:val="heading 3"/>
    <w:basedOn w:val="Normal"/>
    <w:next w:val="Normal"/>
    <w:link w:val="Heading3Char"/>
    <w:uiPriority w:val="9"/>
    <w:unhideWhenUsed/>
    <w:qFormat/>
    <w:rsid w:val="004C3BFD"/>
    <w:pPr>
      <w:keepNext/>
      <w:keepLines/>
      <w:spacing w:before="160" w:after="80"/>
      <w:outlineLvl w:val="2"/>
    </w:pPr>
    <w:rPr>
      <w:rFonts w:eastAsiaTheme="majorEastAsia"/>
      <w:color w:val="00586F" w:themeColor="text2"/>
      <w:sz w:val="32"/>
      <w:szCs w:val="28"/>
    </w:rPr>
  </w:style>
  <w:style w:type="paragraph" w:styleId="Heading4">
    <w:name w:val="heading 4"/>
    <w:basedOn w:val="Normal"/>
    <w:next w:val="Normal"/>
    <w:link w:val="Heading4Char"/>
    <w:uiPriority w:val="9"/>
    <w:unhideWhenUsed/>
    <w:qFormat/>
    <w:rsid w:val="004C3BFD"/>
    <w:pPr>
      <w:keepNext/>
      <w:keepLines/>
      <w:spacing w:before="80" w:after="40"/>
      <w:outlineLvl w:val="3"/>
    </w:pPr>
    <w:rPr>
      <w:rFonts w:eastAsiaTheme="majorEastAsia"/>
      <w:i/>
      <w:iCs/>
      <w:color w:val="00586F" w:themeColor="text2"/>
      <w:sz w:val="28"/>
    </w:rPr>
  </w:style>
  <w:style w:type="paragraph" w:styleId="Heading5">
    <w:name w:val="heading 5"/>
    <w:basedOn w:val="Normal"/>
    <w:next w:val="Normal"/>
    <w:link w:val="Heading5Char"/>
    <w:uiPriority w:val="9"/>
    <w:semiHidden/>
    <w:unhideWhenUsed/>
    <w:rsid w:val="001125D6"/>
    <w:pPr>
      <w:keepNext/>
      <w:keepLines/>
      <w:spacing w:before="80" w:after="40"/>
      <w:outlineLvl w:val="4"/>
    </w:pPr>
    <w:rPr>
      <w:rFonts w:eastAsiaTheme="majorEastAsia" w:cstheme="majorBidi"/>
      <w:color w:val="39A4BD" w:themeColor="accent1" w:themeShade="BF"/>
    </w:rPr>
  </w:style>
  <w:style w:type="paragraph" w:styleId="Heading6">
    <w:name w:val="heading 6"/>
    <w:basedOn w:val="Normal"/>
    <w:next w:val="Normal"/>
    <w:link w:val="Heading6Char"/>
    <w:uiPriority w:val="9"/>
    <w:semiHidden/>
    <w:unhideWhenUsed/>
    <w:qFormat/>
    <w:rsid w:val="00112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BFD"/>
    <w:rPr>
      <w:rFonts w:ascii="Arial" w:eastAsiaTheme="majorEastAsia" w:hAnsi="Arial" w:cs="Arial"/>
      <w:b/>
      <w:bCs/>
      <w:color w:val="00586F" w:themeColor="text2"/>
      <w:sz w:val="44"/>
      <w:szCs w:val="40"/>
    </w:rPr>
  </w:style>
  <w:style w:type="character" w:customStyle="1" w:styleId="Heading2Char">
    <w:name w:val="Heading 2 Char"/>
    <w:basedOn w:val="DefaultParagraphFont"/>
    <w:link w:val="Heading2"/>
    <w:uiPriority w:val="9"/>
    <w:rsid w:val="009A296D"/>
    <w:rPr>
      <w:rFonts w:ascii="Arial" w:eastAsiaTheme="majorEastAsia" w:hAnsi="Arial" w:cs="Arial"/>
      <w:b/>
      <w:bCs/>
      <w:color w:val="00586F" w:themeColor="text2"/>
      <w:sz w:val="36"/>
      <w:szCs w:val="32"/>
    </w:rPr>
  </w:style>
  <w:style w:type="character" w:customStyle="1" w:styleId="Heading3Char">
    <w:name w:val="Heading 3 Char"/>
    <w:basedOn w:val="DefaultParagraphFont"/>
    <w:link w:val="Heading3"/>
    <w:uiPriority w:val="9"/>
    <w:rsid w:val="004C3BFD"/>
    <w:rPr>
      <w:rFonts w:ascii="Arial" w:eastAsiaTheme="majorEastAsia" w:hAnsi="Arial" w:cs="Arial"/>
      <w:color w:val="00586F" w:themeColor="text2"/>
      <w:sz w:val="32"/>
      <w:szCs w:val="28"/>
    </w:rPr>
  </w:style>
  <w:style w:type="character" w:customStyle="1" w:styleId="Heading4Char">
    <w:name w:val="Heading 4 Char"/>
    <w:basedOn w:val="DefaultParagraphFont"/>
    <w:link w:val="Heading4"/>
    <w:uiPriority w:val="9"/>
    <w:rsid w:val="004C3BFD"/>
    <w:rPr>
      <w:rFonts w:ascii="Arial" w:eastAsiaTheme="majorEastAsia" w:hAnsi="Arial" w:cs="Arial"/>
      <w:i/>
      <w:iCs/>
      <w:color w:val="00586F" w:themeColor="text2"/>
      <w:sz w:val="28"/>
    </w:rPr>
  </w:style>
  <w:style w:type="character" w:customStyle="1" w:styleId="Heading5Char">
    <w:name w:val="Heading 5 Char"/>
    <w:basedOn w:val="DefaultParagraphFont"/>
    <w:link w:val="Heading5"/>
    <w:uiPriority w:val="9"/>
    <w:semiHidden/>
    <w:rsid w:val="001125D6"/>
    <w:rPr>
      <w:rFonts w:eastAsiaTheme="majorEastAsia" w:cstheme="majorBidi"/>
      <w:color w:val="39A4BD" w:themeColor="accent1" w:themeShade="BF"/>
    </w:rPr>
  </w:style>
  <w:style w:type="character" w:customStyle="1" w:styleId="Heading6Char">
    <w:name w:val="Heading 6 Char"/>
    <w:basedOn w:val="DefaultParagraphFont"/>
    <w:link w:val="Heading6"/>
    <w:uiPriority w:val="9"/>
    <w:semiHidden/>
    <w:rsid w:val="00112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5D6"/>
    <w:rPr>
      <w:rFonts w:eastAsiaTheme="majorEastAsia" w:cstheme="majorBidi"/>
      <w:color w:val="272727" w:themeColor="text1" w:themeTint="D8"/>
    </w:rPr>
  </w:style>
  <w:style w:type="paragraph" w:styleId="Title">
    <w:name w:val="Title"/>
    <w:basedOn w:val="Normal"/>
    <w:next w:val="Normal"/>
    <w:link w:val="TitleChar"/>
    <w:uiPriority w:val="10"/>
    <w:qFormat/>
    <w:rsid w:val="00C85759"/>
    <w:pPr>
      <w:spacing w:before="360" w:after="40" w:line="240" w:lineRule="auto"/>
      <w:contextualSpacing/>
    </w:pPr>
    <w:rPr>
      <w:rFonts w:eastAsiaTheme="majorEastAsia"/>
      <w:b/>
      <w:bCs/>
      <w:color w:val="00586F" w:themeColor="text2"/>
      <w:spacing w:val="-10"/>
      <w:kern w:val="28"/>
      <w:sz w:val="56"/>
      <w:szCs w:val="56"/>
    </w:rPr>
  </w:style>
  <w:style w:type="character" w:customStyle="1" w:styleId="TitleChar">
    <w:name w:val="Title Char"/>
    <w:basedOn w:val="DefaultParagraphFont"/>
    <w:link w:val="Title"/>
    <w:uiPriority w:val="10"/>
    <w:rsid w:val="00C85759"/>
    <w:rPr>
      <w:rFonts w:ascii="Arial" w:eastAsiaTheme="majorEastAsia" w:hAnsi="Arial" w:cs="Arial"/>
      <w:b/>
      <w:bCs/>
      <w:color w:val="00586F" w:themeColor="text2"/>
      <w:spacing w:val="-10"/>
      <w:kern w:val="28"/>
      <w:sz w:val="56"/>
      <w:szCs w:val="56"/>
    </w:rPr>
  </w:style>
  <w:style w:type="paragraph" w:styleId="Subtitle">
    <w:name w:val="Subtitle"/>
    <w:basedOn w:val="Normal"/>
    <w:next w:val="Normal"/>
    <w:link w:val="SubtitleChar"/>
    <w:uiPriority w:val="11"/>
    <w:qFormat/>
    <w:rsid w:val="00223C1A"/>
    <w:pPr>
      <w:numPr>
        <w:ilvl w:val="1"/>
      </w:numPr>
      <w:spacing w:after="40"/>
    </w:pPr>
    <w:rPr>
      <w:rFonts w:eastAsiaTheme="majorEastAsia" w:cstheme="majorBidi"/>
      <w:b/>
      <w:color w:val="595959" w:themeColor="text1" w:themeTint="A6"/>
      <w:spacing w:val="8"/>
      <w:sz w:val="32"/>
      <w:szCs w:val="28"/>
    </w:rPr>
  </w:style>
  <w:style w:type="character" w:customStyle="1" w:styleId="SubtitleChar">
    <w:name w:val="Subtitle Char"/>
    <w:basedOn w:val="DefaultParagraphFont"/>
    <w:link w:val="Subtitle"/>
    <w:uiPriority w:val="11"/>
    <w:rsid w:val="00223C1A"/>
    <w:rPr>
      <w:rFonts w:ascii="Arial" w:eastAsiaTheme="majorEastAsia" w:hAnsi="Arial" w:cstheme="majorBidi"/>
      <w:b/>
      <w:color w:val="595959" w:themeColor="text1" w:themeTint="A6"/>
      <w:spacing w:val="8"/>
      <w:sz w:val="32"/>
      <w:szCs w:val="28"/>
    </w:rPr>
  </w:style>
  <w:style w:type="paragraph" w:styleId="Quote">
    <w:name w:val="Quote"/>
    <w:basedOn w:val="Normal"/>
    <w:next w:val="Normal"/>
    <w:link w:val="QuoteChar"/>
    <w:uiPriority w:val="29"/>
    <w:rsid w:val="001125D6"/>
    <w:pPr>
      <w:spacing w:before="160"/>
      <w:jc w:val="center"/>
    </w:pPr>
    <w:rPr>
      <w:i/>
      <w:iCs/>
      <w:color w:val="404040" w:themeColor="text1" w:themeTint="BF"/>
    </w:rPr>
  </w:style>
  <w:style w:type="character" w:customStyle="1" w:styleId="QuoteChar">
    <w:name w:val="Quote Char"/>
    <w:basedOn w:val="DefaultParagraphFont"/>
    <w:link w:val="Quote"/>
    <w:uiPriority w:val="29"/>
    <w:rsid w:val="001125D6"/>
    <w:rPr>
      <w:i/>
      <w:iCs/>
      <w:color w:val="404040" w:themeColor="text1" w:themeTint="BF"/>
    </w:rPr>
  </w:style>
  <w:style w:type="paragraph" w:styleId="ListParagraph">
    <w:name w:val="List Paragraph"/>
    <w:basedOn w:val="Normal"/>
    <w:uiPriority w:val="34"/>
    <w:qFormat/>
    <w:rsid w:val="00772F91"/>
    <w:pPr>
      <w:numPr>
        <w:numId w:val="10"/>
      </w:numPr>
      <w:spacing w:after="160"/>
      <w:ind w:left="720"/>
      <w:contextualSpacing/>
    </w:pPr>
  </w:style>
  <w:style w:type="character" w:styleId="IntenseEmphasis">
    <w:name w:val="Intense Emphasis"/>
    <w:basedOn w:val="DefaultParagraphFont"/>
    <w:uiPriority w:val="21"/>
    <w:rsid w:val="001125D6"/>
    <w:rPr>
      <w:i/>
      <w:iCs/>
      <w:color w:val="39A4BD" w:themeColor="accent1" w:themeShade="BF"/>
    </w:rPr>
  </w:style>
  <w:style w:type="paragraph" w:styleId="IntenseQuote">
    <w:name w:val="Intense Quote"/>
    <w:basedOn w:val="Normal"/>
    <w:next w:val="Normal"/>
    <w:link w:val="IntenseQuoteChar"/>
    <w:uiPriority w:val="30"/>
    <w:rsid w:val="00513E0B"/>
    <w:pPr>
      <w:pBdr>
        <w:top w:val="single" w:sz="4" w:space="10" w:color="39A4BD" w:themeColor="accent1" w:themeShade="BF"/>
        <w:bottom w:val="single" w:sz="4" w:space="10" w:color="39A4BD" w:themeColor="accent1" w:themeShade="BF"/>
      </w:pBdr>
      <w:spacing w:before="360" w:after="360"/>
      <w:ind w:left="864" w:right="864"/>
      <w:jc w:val="center"/>
    </w:pPr>
    <w:rPr>
      <w:i/>
      <w:iCs/>
      <w:color w:val="00586F" w:themeColor="text2"/>
    </w:rPr>
  </w:style>
  <w:style w:type="character" w:customStyle="1" w:styleId="IntenseQuoteChar">
    <w:name w:val="Intense Quote Char"/>
    <w:basedOn w:val="DefaultParagraphFont"/>
    <w:link w:val="IntenseQuote"/>
    <w:uiPriority w:val="30"/>
    <w:rsid w:val="00513E0B"/>
    <w:rPr>
      <w:rFonts w:ascii="Arial" w:hAnsi="Arial" w:cs="Arial"/>
      <w:i/>
      <w:iCs/>
      <w:color w:val="00586F" w:themeColor="text2"/>
    </w:rPr>
  </w:style>
  <w:style w:type="character" w:styleId="IntenseReference">
    <w:name w:val="Intense Reference"/>
    <w:basedOn w:val="DefaultParagraphFont"/>
    <w:uiPriority w:val="32"/>
    <w:rsid w:val="001125D6"/>
    <w:rPr>
      <w:b/>
      <w:bCs/>
      <w:smallCaps/>
      <w:color w:val="39A4BD" w:themeColor="accent1" w:themeShade="BF"/>
      <w:spacing w:val="5"/>
    </w:rPr>
  </w:style>
  <w:style w:type="paragraph" w:styleId="Header">
    <w:name w:val="header"/>
    <w:basedOn w:val="Normal"/>
    <w:link w:val="HeaderChar"/>
    <w:uiPriority w:val="99"/>
    <w:unhideWhenUsed/>
    <w:rsid w:val="00112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5D6"/>
  </w:style>
  <w:style w:type="paragraph" w:styleId="Footer">
    <w:name w:val="footer"/>
    <w:basedOn w:val="Normal"/>
    <w:link w:val="FooterChar"/>
    <w:uiPriority w:val="99"/>
    <w:unhideWhenUsed/>
    <w:rsid w:val="00112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5D6"/>
  </w:style>
  <w:style w:type="table" w:styleId="TableGrid">
    <w:name w:val="Table Grid"/>
    <w:basedOn w:val="TableNormal"/>
    <w:uiPriority w:val="39"/>
    <w:rsid w:val="00112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rsid w:val="005E7CCB"/>
    <w:rPr>
      <w:b/>
      <w:bCs/>
      <w:i/>
      <w:iCs/>
      <w:spacing w:val="5"/>
    </w:rPr>
  </w:style>
  <w:style w:type="character" w:styleId="SubtleReference">
    <w:name w:val="Subtle Reference"/>
    <w:basedOn w:val="DefaultParagraphFont"/>
    <w:uiPriority w:val="31"/>
    <w:rsid w:val="005E7CCB"/>
    <w:rPr>
      <w:smallCaps/>
      <w:color w:val="5A5A5A" w:themeColor="text1" w:themeTint="A5"/>
    </w:rPr>
  </w:style>
  <w:style w:type="character" w:styleId="Strong">
    <w:name w:val="Strong"/>
    <w:basedOn w:val="DefaultParagraphFont"/>
    <w:uiPriority w:val="22"/>
    <w:rsid w:val="005E7CCB"/>
    <w:rPr>
      <w:b/>
      <w:bCs/>
    </w:rPr>
  </w:style>
  <w:style w:type="character" w:styleId="SubtleEmphasis">
    <w:name w:val="Subtle Emphasis"/>
    <w:basedOn w:val="DefaultParagraphFont"/>
    <w:uiPriority w:val="19"/>
    <w:qFormat/>
    <w:rsid w:val="005E7CCB"/>
    <w:rPr>
      <w:i/>
      <w:iCs/>
      <w:color w:val="404040" w:themeColor="text1" w:themeTint="BF"/>
    </w:rPr>
  </w:style>
  <w:style w:type="table" w:styleId="ListTable3-Accent4">
    <w:name w:val="List Table 3 Accent 4"/>
    <w:basedOn w:val="TableNormal"/>
    <w:uiPriority w:val="48"/>
    <w:rsid w:val="005F480E"/>
    <w:pPr>
      <w:spacing w:after="0" w:line="240" w:lineRule="auto"/>
    </w:pPr>
    <w:tblPr>
      <w:tblStyleRowBandSize w:val="1"/>
      <w:tblStyleColBandSize w:val="1"/>
      <w:tblBorders>
        <w:top w:val="single" w:sz="4" w:space="0" w:color="00586F" w:themeColor="accent4"/>
        <w:left w:val="single" w:sz="4" w:space="0" w:color="00586F" w:themeColor="accent4"/>
        <w:bottom w:val="single" w:sz="4" w:space="0" w:color="00586F" w:themeColor="accent4"/>
        <w:right w:val="single" w:sz="4" w:space="0" w:color="00586F" w:themeColor="accent4"/>
      </w:tblBorders>
    </w:tblPr>
    <w:tblStylePr w:type="firstRow">
      <w:rPr>
        <w:b/>
        <w:bCs/>
        <w:color w:val="FFFFFF" w:themeColor="background1"/>
      </w:rPr>
      <w:tblPr/>
      <w:tcPr>
        <w:shd w:val="clear" w:color="auto" w:fill="00586F" w:themeFill="accent4"/>
      </w:tcPr>
    </w:tblStylePr>
    <w:tblStylePr w:type="lastRow">
      <w:rPr>
        <w:b/>
        <w:bCs/>
      </w:rPr>
      <w:tblPr/>
      <w:tcPr>
        <w:tcBorders>
          <w:top w:val="double" w:sz="4" w:space="0" w:color="00586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86F" w:themeColor="accent4"/>
          <w:right w:val="single" w:sz="4" w:space="0" w:color="00586F" w:themeColor="accent4"/>
        </w:tcBorders>
      </w:tcPr>
    </w:tblStylePr>
    <w:tblStylePr w:type="band1Horz">
      <w:tblPr/>
      <w:tcPr>
        <w:tcBorders>
          <w:top w:val="single" w:sz="4" w:space="0" w:color="00586F" w:themeColor="accent4"/>
          <w:bottom w:val="single" w:sz="4" w:space="0" w:color="00586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86F" w:themeColor="accent4"/>
          <w:left w:val="nil"/>
        </w:tcBorders>
      </w:tcPr>
    </w:tblStylePr>
    <w:tblStylePr w:type="swCell">
      <w:tblPr/>
      <w:tcPr>
        <w:tcBorders>
          <w:top w:val="double" w:sz="4" w:space="0" w:color="00586F" w:themeColor="accent4"/>
          <w:right w:val="nil"/>
        </w:tcBorders>
      </w:tcPr>
    </w:tblStylePr>
  </w:style>
  <w:style w:type="table" w:styleId="ListTable3-Accent5">
    <w:name w:val="List Table 3 Accent 5"/>
    <w:basedOn w:val="TableNormal"/>
    <w:uiPriority w:val="48"/>
    <w:rsid w:val="00FA3DDD"/>
    <w:pPr>
      <w:spacing w:after="0" w:line="240" w:lineRule="auto"/>
    </w:pPr>
    <w:tblPr>
      <w:tblStyleRowBandSize w:val="1"/>
      <w:tblStyleColBandSize w:val="1"/>
      <w:tblBorders>
        <w:top w:val="single" w:sz="4" w:space="0" w:color="833177" w:themeColor="accent5"/>
        <w:left w:val="single" w:sz="4" w:space="0" w:color="833177" w:themeColor="accent5"/>
        <w:bottom w:val="single" w:sz="4" w:space="0" w:color="833177" w:themeColor="accent5"/>
        <w:right w:val="single" w:sz="4" w:space="0" w:color="833177" w:themeColor="accent5"/>
      </w:tblBorders>
    </w:tblPr>
    <w:tblStylePr w:type="firstRow">
      <w:rPr>
        <w:b/>
        <w:bCs/>
        <w:color w:val="FFFFFF" w:themeColor="background1"/>
      </w:rPr>
      <w:tblPr/>
      <w:tcPr>
        <w:shd w:val="clear" w:color="auto" w:fill="833177" w:themeFill="accent5"/>
      </w:tcPr>
    </w:tblStylePr>
    <w:tblStylePr w:type="lastRow">
      <w:rPr>
        <w:b/>
        <w:bCs/>
      </w:rPr>
      <w:tblPr/>
      <w:tcPr>
        <w:tcBorders>
          <w:top w:val="double" w:sz="4" w:space="0" w:color="83317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3177" w:themeColor="accent5"/>
          <w:right w:val="single" w:sz="4" w:space="0" w:color="833177" w:themeColor="accent5"/>
        </w:tcBorders>
      </w:tcPr>
    </w:tblStylePr>
    <w:tblStylePr w:type="band1Horz">
      <w:tblPr/>
      <w:tcPr>
        <w:tcBorders>
          <w:top w:val="single" w:sz="4" w:space="0" w:color="833177" w:themeColor="accent5"/>
          <w:bottom w:val="single" w:sz="4" w:space="0" w:color="83317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3177" w:themeColor="accent5"/>
          <w:left w:val="nil"/>
        </w:tcBorders>
      </w:tcPr>
    </w:tblStylePr>
    <w:tblStylePr w:type="swCell">
      <w:tblPr/>
      <w:tcPr>
        <w:tcBorders>
          <w:top w:val="double" w:sz="4" w:space="0" w:color="833177" w:themeColor="accent5"/>
          <w:right w:val="nil"/>
        </w:tcBorders>
      </w:tcPr>
    </w:tblStylePr>
  </w:style>
  <w:style w:type="table" w:styleId="ListTable3-Accent3">
    <w:name w:val="List Table 3 Accent 3"/>
    <w:basedOn w:val="TableNormal"/>
    <w:uiPriority w:val="48"/>
    <w:rsid w:val="00FA3DDD"/>
    <w:pPr>
      <w:spacing w:after="0" w:line="240" w:lineRule="auto"/>
    </w:pPr>
    <w:tblPr>
      <w:tblStyleRowBandSize w:val="1"/>
      <w:tblStyleColBandSize w:val="1"/>
      <w:tblBorders>
        <w:top w:val="single" w:sz="4" w:space="0" w:color="A5BAC9" w:themeColor="accent3"/>
        <w:left w:val="single" w:sz="4" w:space="0" w:color="A5BAC9" w:themeColor="accent3"/>
        <w:bottom w:val="single" w:sz="4" w:space="0" w:color="A5BAC9" w:themeColor="accent3"/>
        <w:right w:val="single" w:sz="4" w:space="0" w:color="A5BAC9" w:themeColor="accent3"/>
      </w:tblBorders>
    </w:tblPr>
    <w:tblStylePr w:type="firstRow">
      <w:rPr>
        <w:b/>
        <w:bCs/>
        <w:color w:val="FFFFFF" w:themeColor="background1"/>
      </w:rPr>
      <w:tblPr/>
      <w:tcPr>
        <w:shd w:val="clear" w:color="auto" w:fill="A5BAC9" w:themeFill="accent3"/>
      </w:tcPr>
    </w:tblStylePr>
    <w:tblStylePr w:type="lastRow">
      <w:rPr>
        <w:b/>
        <w:bCs/>
      </w:rPr>
      <w:tblPr/>
      <w:tcPr>
        <w:tcBorders>
          <w:top w:val="double" w:sz="4" w:space="0" w:color="A5BAC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AC9" w:themeColor="accent3"/>
          <w:right w:val="single" w:sz="4" w:space="0" w:color="A5BAC9" w:themeColor="accent3"/>
        </w:tcBorders>
      </w:tcPr>
    </w:tblStylePr>
    <w:tblStylePr w:type="band1Horz">
      <w:tblPr/>
      <w:tcPr>
        <w:tcBorders>
          <w:top w:val="single" w:sz="4" w:space="0" w:color="A5BAC9" w:themeColor="accent3"/>
          <w:bottom w:val="single" w:sz="4" w:space="0" w:color="A5BAC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AC9" w:themeColor="accent3"/>
          <w:left w:val="nil"/>
        </w:tcBorders>
      </w:tcPr>
    </w:tblStylePr>
    <w:tblStylePr w:type="swCell">
      <w:tblPr/>
      <w:tcPr>
        <w:tcBorders>
          <w:top w:val="double" w:sz="4" w:space="0" w:color="A5BAC9" w:themeColor="accent3"/>
          <w:right w:val="nil"/>
        </w:tcBorders>
      </w:tcPr>
    </w:tblStylePr>
  </w:style>
  <w:style w:type="table" w:styleId="ListTable3-Accent2">
    <w:name w:val="List Table 3 Accent 2"/>
    <w:basedOn w:val="TableNormal"/>
    <w:uiPriority w:val="48"/>
    <w:rsid w:val="00FA3DDD"/>
    <w:pPr>
      <w:spacing w:after="0" w:line="240" w:lineRule="auto"/>
    </w:pPr>
    <w:tblPr>
      <w:tblStyleRowBandSize w:val="1"/>
      <w:tblStyleColBandSize w:val="1"/>
      <w:tblBorders>
        <w:top w:val="single" w:sz="4" w:space="0" w:color="E6D67D" w:themeColor="accent2"/>
        <w:left w:val="single" w:sz="4" w:space="0" w:color="E6D67D" w:themeColor="accent2"/>
        <w:bottom w:val="single" w:sz="4" w:space="0" w:color="E6D67D" w:themeColor="accent2"/>
        <w:right w:val="single" w:sz="4" w:space="0" w:color="E6D67D" w:themeColor="accent2"/>
      </w:tblBorders>
    </w:tblPr>
    <w:tblStylePr w:type="firstRow">
      <w:rPr>
        <w:b/>
        <w:bCs/>
        <w:color w:val="FFFFFF" w:themeColor="background1"/>
      </w:rPr>
      <w:tblPr/>
      <w:tcPr>
        <w:shd w:val="clear" w:color="auto" w:fill="E6D67D" w:themeFill="accent2"/>
      </w:tcPr>
    </w:tblStylePr>
    <w:tblStylePr w:type="lastRow">
      <w:rPr>
        <w:b/>
        <w:bCs/>
      </w:rPr>
      <w:tblPr/>
      <w:tcPr>
        <w:tcBorders>
          <w:top w:val="double" w:sz="4" w:space="0" w:color="E6D67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D67D" w:themeColor="accent2"/>
          <w:right w:val="single" w:sz="4" w:space="0" w:color="E6D67D" w:themeColor="accent2"/>
        </w:tcBorders>
      </w:tcPr>
    </w:tblStylePr>
    <w:tblStylePr w:type="band1Horz">
      <w:tblPr/>
      <w:tcPr>
        <w:tcBorders>
          <w:top w:val="single" w:sz="4" w:space="0" w:color="E6D67D" w:themeColor="accent2"/>
          <w:bottom w:val="single" w:sz="4" w:space="0" w:color="E6D67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D67D" w:themeColor="accent2"/>
          <w:left w:val="nil"/>
        </w:tcBorders>
      </w:tcPr>
    </w:tblStylePr>
    <w:tblStylePr w:type="swCell">
      <w:tblPr/>
      <w:tcPr>
        <w:tcBorders>
          <w:top w:val="double" w:sz="4" w:space="0" w:color="E6D67D" w:themeColor="accent2"/>
          <w:right w:val="nil"/>
        </w:tcBorders>
      </w:tcPr>
    </w:tblStylePr>
  </w:style>
  <w:style w:type="table" w:styleId="ListTable4">
    <w:name w:val="List Table 4"/>
    <w:basedOn w:val="TableNormal"/>
    <w:uiPriority w:val="49"/>
    <w:rsid w:val="00FA3D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A3DDD"/>
    <w:pPr>
      <w:spacing w:after="0" w:line="240" w:lineRule="auto"/>
    </w:pPr>
    <w:tblPr>
      <w:tblStyleRowBandSize w:val="1"/>
      <w:tblStyleColBandSize w:val="1"/>
      <w:tblBorders>
        <w:top w:val="single" w:sz="4" w:space="0" w:color="ABDAE5" w:themeColor="accent1" w:themeTint="99"/>
        <w:left w:val="single" w:sz="4" w:space="0" w:color="ABDAE5" w:themeColor="accent1" w:themeTint="99"/>
        <w:bottom w:val="single" w:sz="4" w:space="0" w:color="ABDAE5" w:themeColor="accent1" w:themeTint="99"/>
        <w:right w:val="single" w:sz="4" w:space="0" w:color="ABDAE5" w:themeColor="accent1" w:themeTint="99"/>
        <w:insideH w:val="single" w:sz="4" w:space="0" w:color="ABDAE5" w:themeColor="accent1" w:themeTint="99"/>
      </w:tblBorders>
    </w:tblPr>
    <w:tblStylePr w:type="firstRow">
      <w:rPr>
        <w:b/>
        <w:bCs/>
        <w:color w:val="FFFFFF" w:themeColor="background1"/>
      </w:rPr>
      <w:tblPr/>
      <w:tcPr>
        <w:tcBorders>
          <w:top w:val="single" w:sz="4" w:space="0" w:color="74C3D5" w:themeColor="accent1"/>
          <w:left w:val="single" w:sz="4" w:space="0" w:color="74C3D5" w:themeColor="accent1"/>
          <w:bottom w:val="single" w:sz="4" w:space="0" w:color="74C3D5" w:themeColor="accent1"/>
          <w:right w:val="single" w:sz="4" w:space="0" w:color="74C3D5" w:themeColor="accent1"/>
          <w:insideH w:val="nil"/>
        </w:tcBorders>
        <w:shd w:val="clear" w:color="auto" w:fill="74C3D5" w:themeFill="accent1"/>
      </w:tcPr>
    </w:tblStylePr>
    <w:tblStylePr w:type="lastRow">
      <w:rPr>
        <w:b/>
        <w:bCs/>
      </w:rPr>
      <w:tblPr/>
      <w:tcPr>
        <w:tcBorders>
          <w:top w:val="double" w:sz="4" w:space="0" w:color="ABDAE5" w:themeColor="accent1" w:themeTint="99"/>
        </w:tcBorders>
      </w:tcPr>
    </w:tblStylePr>
    <w:tblStylePr w:type="firstCol">
      <w:rPr>
        <w:b/>
        <w:bCs/>
      </w:rPr>
    </w:tblStylePr>
    <w:tblStylePr w:type="lastCol">
      <w:rPr>
        <w:b/>
        <w:bCs/>
      </w:rPr>
    </w:tblStylePr>
    <w:tblStylePr w:type="band1Vert">
      <w:tblPr/>
      <w:tcPr>
        <w:shd w:val="clear" w:color="auto" w:fill="E3F2F6" w:themeFill="accent1" w:themeFillTint="33"/>
      </w:tcPr>
    </w:tblStylePr>
    <w:tblStylePr w:type="band1Horz">
      <w:tblPr/>
      <w:tcPr>
        <w:shd w:val="clear" w:color="auto" w:fill="E3F2F6" w:themeFill="accent1" w:themeFillTint="33"/>
      </w:tcPr>
    </w:tblStylePr>
  </w:style>
  <w:style w:type="table" w:styleId="ListTable4-Accent2">
    <w:name w:val="List Table 4 Accent 2"/>
    <w:basedOn w:val="TableNormal"/>
    <w:uiPriority w:val="49"/>
    <w:rsid w:val="00FA3DDD"/>
    <w:pPr>
      <w:spacing w:after="0" w:line="240" w:lineRule="auto"/>
    </w:pPr>
    <w:tblPr>
      <w:tblStyleRowBandSize w:val="1"/>
      <w:tblStyleColBandSize w:val="1"/>
      <w:tblBorders>
        <w:top w:val="single" w:sz="4" w:space="0" w:color="F0E6B1" w:themeColor="accent2" w:themeTint="99"/>
        <w:left w:val="single" w:sz="4" w:space="0" w:color="F0E6B1" w:themeColor="accent2" w:themeTint="99"/>
        <w:bottom w:val="single" w:sz="4" w:space="0" w:color="F0E6B1" w:themeColor="accent2" w:themeTint="99"/>
        <w:right w:val="single" w:sz="4" w:space="0" w:color="F0E6B1" w:themeColor="accent2" w:themeTint="99"/>
        <w:insideH w:val="single" w:sz="4" w:space="0" w:color="F0E6B1" w:themeColor="accent2" w:themeTint="99"/>
      </w:tblBorders>
    </w:tblPr>
    <w:tblStylePr w:type="firstRow">
      <w:rPr>
        <w:b/>
        <w:bCs/>
        <w:color w:val="FFFFFF" w:themeColor="background1"/>
      </w:rPr>
      <w:tblPr/>
      <w:tcPr>
        <w:tcBorders>
          <w:top w:val="single" w:sz="4" w:space="0" w:color="E6D67D" w:themeColor="accent2"/>
          <w:left w:val="single" w:sz="4" w:space="0" w:color="E6D67D" w:themeColor="accent2"/>
          <w:bottom w:val="single" w:sz="4" w:space="0" w:color="E6D67D" w:themeColor="accent2"/>
          <w:right w:val="single" w:sz="4" w:space="0" w:color="E6D67D" w:themeColor="accent2"/>
          <w:insideH w:val="nil"/>
        </w:tcBorders>
        <w:shd w:val="clear" w:color="auto" w:fill="E6D67D" w:themeFill="accent2"/>
      </w:tcPr>
    </w:tblStylePr>
    <w:tblStylePr w:type="lastRow">
      <w:rPr>
        <w:b/>
        <w:bCs/>
      </w:rPr>
      <w:tblPr/>
      <w:tcPr>
        <w:tcBorders>
          <w:top w:val="double" w:sz="4" w:space="0" w:color="F0E6B1" w:themeColor="accent2" w:themeTint="99"/>
        </w:tcBorders>
      </w:tcPr>
    </w:tblStylePr>
    <w:tblStylePr w:type="firstCol">
      <w:rPr>
        <w:b/>
        <w:bCs/>
      </w:rPr>
    </w:tblStylePr>
    <w:tblStylePr w:type="lastCol">
      <w:rPr>
        <w:b/>
        <w:bCs/>
      </w:rPr>
    </w:tblStylePr>
    <w:tblStylePr w:type="band1Vert">
      <w:tblPr/>
      <w:tcPr>
        <w:shd w:val="clear" w:color="auto" w:fill="FAF6E5" w:themeFill="accent2" w:themeFillTint="33"/>
      </w:tcPr>
    </w:tblStylePr>
    <w:tblStylePr w:type="band1Horz">
      <w:tblPr/>
      <w:tcPr>
        <w:shd w:val="clear" w:color="auto" w:fill="FAF6E5" w:themeFill="accent2" w:themeFillTint="33"/>
      </w:tcPr>
    </w:tblStylePr>
  </w:style>
  <w:style w:type="table" w:styleId="ListTable4-Accent3">
    <w:name w:val="List Table 4 Accent 3"/>
    <w:basedOn w:val="TableNormal"/>
    <w:uiPriority w:val="49"/>
    <w:rsid w:val="00FA3DDD"/>
    <w:pPr>
      <w:spacing w:after="0" w:line="240" w:lineRule="auto"/>
    </w:pPr>
    <w:tblPr>
      <w:tblStyleRowBandSize w:val="1"/>
      <w:tblStyleColBandSize w:val="1"/>
      <w:tblBorders>
        <w:top w:val="single" w:sz="4" w:space="0" w:color="C8D5DE" w:themeColor="accent3" w:themeTint="99"/>
        <w:left w:val="single" w:sz="4" w:space="0" w:color="C8D5DE" w:themeColor="accent3" w:themeTint="99"/>
        <w:bottom w:val="single" w:sz="4" w:space="0" w:color="C8D5DE" w:themeColor="accent3" w:themeTint="99"/>
        <w:right w:val="single" w:sz="4" w:space="0" w:color="C8D5DE" w:themeColor="accent3" w:themeTint="99"/>
        <w:insideH w:val="single" w:sz="4" w:space="0" w:color="C8D5DE" w:themeColor="accent3" w:themeTint="99"/>
      </w:tblBorders>
    </w:tblPr>
    <w:tblStylePr w:type="firstRow">
      <w:rPr>
        <w:b/>
        <w:bCs/>
        <w:color w:val="FFFFFF" w:themeColor="background1"/>
      </w:rPr>
      <w:tblPr/>
      <w:tcPr>
        <w:tcBorders>
          <w:top w:val="single" w:sz="4" w:space="0" w:color="A5BAC9" w:themeColor="accent3"/>
          <w:left w:val="single" w:sz="4" w:space="0" w:color="A5BAC9" w:themeColor="accent3"/>
          <w:bottom w:val="single" w:sz="4" w:space="0" w:color="A5BAC9" w:themeColor="accent3"/>
          <w:right w:val="single" w:sz="4" w:space="0" w:color="A5BAC9" w:themeColor="accent3"/>
          <w:insideH w:val="nil"/>
        </w:tcBorders>
        <w:shd w:val="clear" w:color="auto" w:fill="A5BAC9" w:themeFill="accent3"/>
      </w:tcPr>
    </w:tblStylePr>
    <w:tblStylePr w:type="lastRow">
      <w:rPr>
        <w:b/>
        <w:bCs/>
      </w:rPr>
      <w:tblPr/>
      <w:tcPr>
        <w:tcBorders>
          <w:top w:val="double" w:sz="4" w:space="0" w:color="C8D5DE" w:themeColor="accent3" w:themeTint="99"/>
        </w:tcBorders>
      </w:tcPr>
    </w:tblStylePr>
    <w:tblStylePr w:type="firstCol">
      <w:rPr>
        <w:b/>
        <w:bCs/>
      </w:rPr>
    </w:tblStylePr>
    <w:tblStylePr w:type="lastCol">
      <w:rPr>
        <w:b/>
        <w:bCs/>
      </w:rPr>
    </w:tblStylePr>
    <w:tblStylePr w:type="band1Vert">
      <w:tblPr/>
      <w:tcPr>
        <w:shd w:val="clear" w:color="auto" w:fill="ECF1F4" w:themeFill="accent3" w:themeFillTint="33"/>
      </w:tcPr>
    </w:tblStylePr>
    <w:tblStylePr w:type="band1Horz">
      <w:tblPr/>
      <w:tcPr>
        <w:shd w:val="clear" w:color="auto" w:fill="ECF1F4" w:themeFill="accent3" w:themeFillTint="33"/>
      </w:tcPr>
    </w:tblStylePr>
  </w:style>
  <w:style w:type="table" w:styleId="ListTable4-Accent4">
    <w:name w:val="List Table 4 Accent 4"/>
    <w:basedOn w:val="TableNormal"/>
    <w:uiPriority w:val="49"/>
    <w:rsid w:val="00FA3DDD"/>
    <w:pPr>
      <w:spacing w:after="0" w:line="240" w:lineRule="auto"/>
    </w:pPr>
    <w:tblPr>
      <w:tblStyleRowBandSize w:val="1"/>
      <w:tblStyleColBandSize w:val="1"/>
      <w:tblBorders>
        <w:top w:val="single" w:sz="4" w:space="0" w:color="0FCDFF" w:themeColor="accent4" w:themeTint="99"/>
        <w:left w:val="single" w:sz="4" w:space="0" w:color="0FCDFF" w:themeColor="accent4" w:themeTint="99"/>
        <w:bottom w:val="single" w:sz="4" w:space="0" w:color="0FCDFF" w:themeColor="accent4" w:themeTint="99"/>
        <w:right w:val="single" w:sz="4" w:space="0" w:color="0FCDFF" w:themeColor="accent4" w:themeTint="99"/>
        <w:insideH w:val="single" w:sz="4" w:space="0" w:color="0FCDFF" w:themeColor="accent4" w:themeTint="99"/>
      </w:tblBorders>
    </w:tblPr>
    <w:tblStylePr w:type="firstRow">
      <w:rPr>
        <w:b/>
        <w:bCs/>
        <w:color w:val="FFFFFF" w:themeColor="background1"/>
      </w:rPr>
      <w:tblPr/>
      <w:tcPr>
        <w:tcBorders>
          <w:top w:val="single" w:sz="4" w:space="0" w:color="00586F" w:themeColor="accent4"/>
          <w:left w:val="single" w:sz="4" w:space="0" w:color="00586F" w:themeColor="accent4"/>
          <w:bottom w:val="single" w:sz="4" w:space="0" w:color="00586F" w:themeColor="accent4"/>
          <w:right w:val="single" w:sz="4" w:space="0" w:color="00586F" w:themeColor="accent4"/>
          <w:insideH w:val="nil"/>
        </w:tcBorders>
        <w:shd w:val="clear" w:color="auto" w:fill="00586F" w:themeFill="accent4"/>
      </w:tcPr>
    </w:tblStylePr>
    <w:tblStylePr w:type="lastRow">
      <w:rPr>
        <w:b/>
        <w:bCs/>
      </w:rPr>
      <w:tblPr/>
      <w:tcPr>
        <w:tcBorders>
          <w:top w:val="double" w:sz="4" w:space="0" w:color="0FCDFF" w:themeColor="accent4" w:themeTint="99"/>
        </w:tcBorders>
      </w:tcPr>
    </w:tblStylePr>
    <w:tblStylePr w:type="firstCol">
      <w:rPr>
        <w:b/>
        <w:bCs/>
      </w:rPr>
    </w:tblStylePr>
    <w:tblStylePr w:type="lastCol">
      <w:rPr>
        <w:b/>
        <w:bCs/>
      </w:rPr>
    </w:tblStylePr>
    <w:tblStylePr w:type="band1Vert">
      <w:tblPr/>
      <w:tcPr>
        <w:shd w:val="clear" w:color="auto" w:fill="AFEEFF" w:themeFill="accent4" w:themeFillTint="33"/>
      </w:tcPr>
    </w:tblStylePr>
    <w:tblStylePr w:type="band1Horz">
      <w:tblPr/>
      <w:tcPr>
        <w:shd w:val="clear" w:color="auto" w:fill="AFEEFF" w:themeFill="accent4" w:themeFillTint="33"/>
      </w:tcPr>
    </w:tblStylePr>
  </w:style>
  <w:style w:type="paragraph" w:customStyle="1" w:styleId="DateStyle">
    <w:name w:val="Date Style"/>
    <w:basedOn w:val="Normal"/>
    <w:link w:val="DateStyleChar"/>
    <w:qFormat/>
    <w:rsid w:val="002C3EF1"/>
    <w:rPr>
      <w:i/>
      <w:iCs/>
      <w:color w:val="00586F" w:themeColor="text2"/>
    </w:rPr>
  </w:style>
  <w:style w:type="character" w:customStyle="1" w:styleId="DateStyleChar">
    <w:name w:val="Date Style Char"/>
    <w:basedOn w:val="DefaultParagraphFont"/>
    <w:link w:val="DateStyle"/>
    <w:rsid w:val="002C3EF1"/>
    <w:rPr>
      <w:rFonts w:ascii="Arial" w:hAnsi="Arial" w:cs="Arial"/>
      <w:i/>
      <w:iCs/>
      <w:color w:val="00586F" w:themeColor="text2"/>
    </w:rPr>
  </w:style>
  <w:style w:type="character" w:styleId="Hyperlink">
    <w:name w:val="Hyperlink"/>
    <w:basedOn w:val="DefaultParagraphFont"/>
    <w:uiPriority w:val="99"/>
    <w:unhideWhenUsed/>
    <w:rsid w:val="007733CB"/>
    <w:rPr>
      <w:color w:val="00586F" w:themeColor="hyperlink"/>
      <w:u w:val="single"/>
    </w:rPr>
  </w:style>
  <w:style w:type="character" w:styleId="UnresolvedMention">
    <w:name w:val="Unresolved Mention"/>
    <w:basedOn w:val="DefaultParagraphFont"/>
    <w:uiPriority w:val="99"/>
    <w:semiHidden/>
    <w:unhideWhenUsed/>
    <w:rsid w:val="007733CB"/>
    <w:rPr>
      <w:color w:val="605E5C"/>
      <w:shd w:val="clear" w:color="auto" w:fill="E1DFDD"/>
    </w:rPr>
  </w:style>
  <w:style w:type="character" w:styleId="FollowedHyperlink">
    <w:name w:val="FollowedHyperlink"/>
    <w:basedOn w:val="DefaultParagraphFont"/>
    <w:uiPriority w:val="99"/>
    <w:semiHidden/>
    <w:unhideWhenUsed/>
    <w:rsid w:val="007733CB"/>
    <w:rPr>
      <w:color w:val="002C37" w:themeColor="followedHyperlink"/>
      <w:u w:val="single"/>
    </w:rPr>
  </w:style>
  <w:style w:type="paragraph" w:styleId="FootnoteText">
    <w:name w:val="footnote text"/>
    <w:basedOn w:val="Normal"/>
    <w:link w:val="FootnoteTextChar"/>
    <w:uiPriority w:val="99"/>
    <w:semiHidden/>
    <w:unhideWhenUsed/>
    <w:rsid w:val="002C0197"/>
    <w:pPr>
      <w:spacing w:after="0" w:line="240" w:lineRule="auto"/>
    </w:pPr>
    <w:rPr>
      <w:rFonts w:asciiTheme="minorHAnsi" w:hAnsiTheme="minorHAnsi" w:cstheme="minorBidi"/>
      <w:kern w:val="0"/>
      <w:sz w:val="20"/>
      <w:szCs w:val="20"/>
      <w14:ligatures w14:val="none"/>
    </w:rPr>
  </w:style>
  <w:style w:type="character" w:customStyle="1" w:styleId="FootnoteTextChar">
    <w:name w:val="Footnote Text Char"/>
    <w:basedOn w:val="DefaultParagraphFont"/>
    <w:link w:val="FootnoteText"/>
    <w:uiPriority w:val="99"/>
    <w:semiHidden/>
    <w:rsid w:val="002C0197"/>
    <w:rPr>
      <w:kern w:val="0"/>
      <w:sz w:val="20"/>
      <w:szCs w:val="20"/>
      <w14:ligatures w14:val="none"/>
    </w:rPr>
  </w:style>
  <w:style w:type="character" w:styleId="FootnoteReference">
    <w:name w:val="footnote reference"/>
    <w:basedOn w:val="DefaultParagraphFont"/>
    <w:uiPriority w:val="99"/>
    <w:semiHidden/>
    <w:unhideWhenUsed/>
    <w:rsid w:val="002C01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B:\Human%20Resources\Human%20Resources\Shared%20HR\Branding\COR_ADA_Letterhead_2026.dotx" TargetMode="External"/></Relationships>
</file>

<file path=word/theme/theme1.xml><?xml version="1.0" encoding="utf-8"?>
<a:theme xmlns:a="http://schemas.openxmlformats.org/drawingml/2006/main" name="Office Theme">
  <a:themeElements>
    <a:clrScheme name="City of Rochester, MN 2026">
      <a:dk1>
        <a:sysClr val="windowText" lastClr="000000"/>
      </a:dk1>
      <a:lt1>
        <a:sysClr val="window" lastClr="FFFFFF"/>
      </a:lt1>
      <a:dk2>
        <a:srgbClr val="00586F"/>
      </a:dk2>
      <a:lt2>
        <a:srgbClr val="FFFFFF"/>
      </a:lt2>
      <a:accent1>
        <a:srgbClr val="74C3D5"/>
      </a:accent1>
      <a:accent2>
        <a:srgbClr val="E6D67D"/>
      </a:accent2>
      <a:accent3>
        <a:srgbClr val="A5BAC9"/>
      </a:accent3>
      <a:accent4>
        <a:srgbClr val="00586F"/>
      </a:accent4>
      <a:accent5>
        <a:srgbClr val="833177"/>
      </a:accent5>
      <a:accent6>
        <a:srgbClr val="FF585D"/>
      </a:accent6>
      <a:hlink>
        <a:srgbClr val="00586F"/>
      </a:hlink>
      <a:folHlink>
        <a:srgbClr val="002C3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5ba81e-b52a-4070-89e4-3c76d5140eea">
      <Terms xmlns="http://schemas.microsoft.com/office/infopath/2007/PartnerControls"/>
    </lcf76f155ced4ddcb4097134ff3c332f>
    <TaxCatchAll xmlns="98a9d63a-ee02-4af2-88cc-b2e411489690" xsi:nil="true"/>
    <SharedWithUsers xmlns="98a9d63a-ee02-4af2-88cc-b2e41148969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FA81E0DAFC3E409C45ABC66D150D19" ma:contentTypeVersion="15" ma:contentTypeDescription="Create a new document." ma:contentTypeScope="" ma:versionID="411d12fa99f2b1172a965cc2467bb85c">
  <xsd:schema xmlns:xsd="http://www.w3.org/2001/XMLSchema" xmlns:xs="http://www.w3.org/2001/XMLSchema" xmlns:p="http://schemas.microsoft.com/office/2006/metadata/properties" xmlns:ns2="98a9d63a-ee02-4af2-88cc-b2e411489690" xmlns:ns3="b55ba81e-b52a-4070-89e4-3c76d5140eea" targetNamespace="http://schemas.microsoft.com/office/2006/metadata/properties" ma:root="true" ma:fieldsID="2d26fd0f7a97f8b70bc783376adf07ef" ns2:_="" ns3:_="">
    <xsd:import namespace="98a9d63a-ee02-4af2-88cc-b2e411489690"/>
    <xsd:import namespace="b55ba81e-b52a-4070-89e4-3c76d5140e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9d63a-ee02-4af2-88cc-b2e4114896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4257461-18a3-4866-9f6d-e42c0ddc16c2}" ma:internalName="TaxCatchAll" ma:showField="CatchAllData" ma:web="98a9d63a-ee02-4af2-88cc-b2e4114896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5ba81e-b52a-4070-89e4-3c76d5140e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57f31b-2571-4296-aa43-87d39cc4fc1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46E27-9587-4FA3-A57D-51F9EC41C5B9}">
  <ds:schemaRefs>
    <ds:schemaRef ds:uri="http://schemas.microsoft.com/office/2006/metadata/properties"/>
    <ds:schemaRef ds:uri="http://schemas.microsoft.com/office/infopath/2007/PartnerControls"/>
    <ds:schemaRef ds:uri="b55ba81e-b52a-4070-89e4-3c76d5140eea"/>
    <ds:schemaRef ds:uri="98a9d63a-ee02-4af2-88cc-b2e411489690"/>
  </ds:schemaRefs>
</ds:datastoreItem>
</file>

<file path=customXml/itemProps2.xml><?xml version="1.0" encoding="utf-8"?>
<ds:datastoreItem xmlns:ds="http://schemas.openxmlformats.org/officeDocument/2006/customXml" ds:itemID="{D4154310-240B-EC45-B4D9-1D56BB94E23F}">
  <ds:schemaRefs>
    <ds:schemaRef ds:uri="http://schemas.openxmlformats.org/officeDocument/2006/bibliography"/>
  </ds:schemaRefs>
</ds:datastoreItem>
</file>

<file path=customXml/itemProps3.xml><?xml version="1.0" encoding="utf-8"?>
<ds:datastoreItem xmlns:ds="http://schemas.openxmlformats.org/officeDocument/2006/customXml" ds:itemID="{FDB85B83-4EBA-432C-B36C-7EAECAC8B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9d63a-ee02-4af2-88cc-b2e411489690"/>
    <ds:schemaRef ds:uri="b55ba81e-b52a-4070-89e4-3c76d5140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0ECAC-49DC-4727-A41F-9E50E1C4D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COR_ADA_Letterhead_2026.dotx</Template>
  <TotalTime>54</TotalTime>
  <Pages>3</Pages>
  <Words>955</Words>
  <Characters>5101</Characters>
  <Application>Microsoft Office Word</Application>
  <DocSecurity>0</DocSecurity>
  <Lines>150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Cloutier</dc:creator>
  <cp:keywords/>
  <dc:description/>
  <cp:lastModifiedBy>Danielle Cloutier</cp:lastModifiedBy>
  <cp:revision>3</cp:revision>
  <dcterms:created xsi:type="dcterms:W3CDTF">2026-04-08T18:28:00Z</dcterms:created>
  <dcterms:modified xsi:type="dcterms:W3CDTF">2026-04-08T19:30:00Z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7ee07507-fddd-492e-8ebe-edbde2f1b2c5</vt:lpwstr>
  </property>
  <property fmtid="{D5CDD505-2E9C-101B-9397-08002B2CF9AE}" pid="3" name="ContentTypeId">
    <vt:lpwstr>0x01010040FA81E0DAFC3E409C45ABC66D150D19</vt:lpwstr>
  </property>
  <property fmtid="{D5CDD505-2E9C-101B-9397-08002B2CF9AE}" pid="4" name="Order">
    <vt:r8>401600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